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74D" w:rsidRPr="00C57A5A" w:rsidRDefault="009A174D" w:rsidP="009A174D">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#94-e                                                </w:t>
      </w:r>
      <w:r w:rsidR="00CA051E">
        <w:rPr>
          <w:rFonts w:asciiTheme="minorHAnsi" w:eastAsiaTheme="minorEastAsia" w:hAnsiTheme="minorHAnsi" w:cs="Arial"/>
          <w:bCs/>
          <w:noProof w:val="0"/>
          <w:sz w:val="22"/>
          <w:szCs w:val="22"/>
          <w:lang w:eastAsia="zh-CN"/>
        </w:rPr>
        <w:t>R4-2000933</w:t>
      </w:r>
      <w:bookmarkStart w:id="0" w:name="_GoBack"/>
      <w:bookmarkEnd w:id="0"/>
    </w:p>
    <w:p w:rsidR="009A174D" w:rsidRPr="00BE6356" w:rsidRDefault="009A174D" w:rsidP="009A174D">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BA426D" w:rsidRDefault="00BA426D" w:rsidP="00BA426D">
      <w:pPr>
        <w:ind w:left="1985" w:hanging="1985"/>
        <w:rPr>
          <w:rFonts w:cs="Arial"/>
          <w:b/>
          <w:bCs/>
        </w:rPr>
      </w:pPr>
    </w:p>
    <w:p w:rsidR="00BA426D" w:rsidRPr="00F52EE4" w:rsidRDefault="00BA426D" w:rsidP="00BA426D">
      <w:pPr>
        <w:ind w:left="1985" w:hanging="1985"/>
        <w:rPr>
          <w:rFonts w:cs="Arial"/>
          <w:b/>
          <w:bCs/>
        </w:rPr>
      </w:pPr>
      <w:r w:rsidRPr="00FE72F2">
        <w:rPr>
          <w:rFonts w:cs="Arial"/>
          <w:b/>
          <w:bCs/>
        </w:rPr>
        <w:t>Agenda Item:</w:t>
      </w:r>
      <w:r w:rsidRPr="00FE72F2">
        <w:rPr>
          <w:rFonts w:cs="Arial"/>
          <w:b/>
          <w:bCs/>
        </w:rPr>
        <w:tab/>
      </w:r>
      <w:r w:rsidR="00775FA1">
        <w:rPr>
          <w:rFonts w:cs="Arial"/>
          <w:b/>
          <w:bCs/>
        </w:rPr>
        <w:t>8.1.4.10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on</w:t>
      </w:r>
      <w:r w:rsidR="002D0B64">
        <w:rPr>
          <w:b/>
        </w:rPr>
        <w:t xml:space="preserve"> synchronization assumption and SSB</w:t>
      </w:r>
      <w:r w:rsidR="005D2449">
        <w:rPr>
          <w:b/>
        </w:rPr>
        <w:t xml:space="preserve"> index detection </w:t>
      </w:r>
      <w:r w:rsidR="00BB2C47">
        <w:rPr>
          <w:b/>
        </w:rPr>
        <w:t>in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9158AC">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AB6074" w:rsidRPr="007602BB" w:rsidRDefault="00317732" w:rsidP="001E3BD8">
      <w:pPr>
        <w:jc w:val="both"/>
        <w:rPr>
          <w:rFonts w:eastAsia="新細明體"/>
        </w:rPr>
      </w:pPr>
      <w:r w:rsidRPr="00606ED8">
        <w:t>In RAN4-93</w:t>
      </w:r>
      <w:r w:rsidR="0014336E" w:rsidRPr="00606ED8">
        <w:t xml:space="preserve"> meeting, </w:t>
      </w:r>
      <w:r w:rsidR="003330A1" w:rsidRPr="00606ED8">
        <w:t>t</w:t>
      </w:r>
      <w:r w:rsidR="001E3BD8" w:rsidRPr="00606ED8">
        <w:t>he</w:t>
      </w:r>
      <w:r w:rsidR="00617CB4" w:rsidRPr="00606ED8">
        <w:t xml:space="preserve"> </w:t>
      </w:r>
      <w:r w:rsidR="00E90277">
        <w:rPr>
          <w:rFonts w:eastAsia="新細明體" w:hint="eastAsia"/>
        </w:rPr>
        <w:t>need of PBCH reading for SSB</w:t>
      </w:r>
      <w:r w:rsidR="00606ED8" w:rsidRPr="00606ED8">
        <w:rPr>
          <w:rFonts w:eastAsia="新細明體" w:hint="eastAsia"/>
        </w:rPr>
        <w:t xml:space="preserve"> index detection</w:t>
      </w:r>
      <w:r w:rsidR="0014336E" w:rsidRPr="00606ED8">
        <w:t xml:space="preserve"> </w:t>
      </w:r>
      <w:r w:rsidR="007602BB">
        <w:rPr>
          <w:rFonts w:eastAsia="新細明體" w:hint="eastAsia"/>
        </w:rPr>
        <w:t xml:space="preserve">was </w:t>
      </w:r>
      <w:r w:rsidR="00E90277">
        <w:t>discussed in</w:t>
      </w:r>
      <w:r w:rsidR="001A1BD9" w:rsidRPr="00606ED8">
        <w:t xml:space="preserve"> </w:t>
      </w:r>
      <w:r w:rsidR="002066E8" w:rsidRPr="00606ED8">
        <w:t xml:space="preserve">WF </w:t>
      </w:r>
      <w:r w:rsidR="001E3BD8" w:rsidRPr="00606ED8">
        <w:t>[1]</w:t>
      </w:r>
      <w:r w:rsidR="006734ED" w:rsidRPr="00606ED8">
        <w:t xml:space="preserve">. In this paper, </w:t>
      </w:r>
      <w:r w:rsidR="00E90277">
        <w:t>the views on SSB</w:t>
      </w:r>
      <w:r w:rsidR="007602BB" w:rsidRPr="00606ED8">
        <w:rPr>
          <w:rFonts w:eastAsia="新細明體" w:hint="eastAsia"/>
        </w:rPr>
        <w:t xml:space="preserve"> index detection</w:t>
      </w:r>
      <w:r w:rsidR="007602BB">
        <w:rPr>
          <w:rFonts w:eastAsia="新細明體" w:hint="eastAsia"/>
        </w:rPr>
        <w:t xml:space="preserve"> and </w:t>
      </w:r>
      <w:r w:rsidR="007602BB">
        <w:rPr>
          <w:rFonts w:eastAsia="新細明體"/>
        </w:rPr>
        <w:t>relevant</w:t>
      </w:r>
      <w:r w:rsidR="007602BB">
        <w:rPr>
          <w:rFonts w:eastAsia="新細明體" w:hint="eastAsia"/>
        </w:rPr>
        <w:t xml:space="preserve"> </w:t>
      </w:r>
      <w:r w:rsidR="007602BB">
        <w:rPr>
          <w:rFonts w:eastAsia="新細明體"/>
        </w:rPr>
        <w:t>synchronization</w:t>
      </w:r>
      <w:r w:rsidR="007602BB">
        <w:rPr>
          <w:rFonts w:eastAsia="新細明體" w:hint="eastAsia"/>
        </w:rPr>
        <w:t xml:space="preserve"> </w:t>
      </w:r>
      <w:r w:rsidR="007602BB">
        <w:rPr>
          <w:rFonts w:eastAsia="新細明體"/>
        </w:rPr>
        <w:t>assumption</w:t>
      </w:r>
      <w:r w:rsidR="007602BB">
        <w:rPr>
          <w:rFonts w:eastAsia="新細明體" w:hint="eastAsia"/>
        </w:rPr>
        <w:t xml:space="preserve"> are provided.  </w:t>
      </w:r>
    </w:p>
    <w:p w:rsidR="0045132D" w:rsidRDefault="001E3BD8" w:rsidP="009158AC">
      <w:pPr>
        <w:pStyle w:val="1"/>
        <w:numPr>
          <w:ilvl w:val="0"/>
          <w:numId w:val="1"/>
        </w:numPr>
        <w:rPr>
          <w:rFonts w:ascii="Calibri" w:hAnsi="Calibri"/>
        </w:rPr>
      </w:pPr>
      <w:r>
        <w:rPr>
          <w:rFonts w:ascii="Calibri" w:hAnsi="Calibri"/>
        </w:rPr>
        <w:t>Discussion</w:t>
      </w:r>
    </w:p>
    <w:p w:rsidR="009473BB" w:rsidRPr="00250B33" w:rsidRDefault="00E90277" w:rsidP="009473BB">
      <w:pPr>
        <w:rPr>
          <w:lang w:val="en-GB" w:eastAsia="en-US"/>
        </w:rPr>
      </w:pPr>
      <w:r>
        <w:rPr>
          <w:lang w:val="en-GB" w:eastAsia="en-US"/>
        </w:rPr>
        <w:t xml:space="preserve">In </w:t>
      </w:r>
      <w:r w:rsidR="00796D8F" w:rsidRPr="00250B33">
        <w:rPr>
          <w:lang w:val="en-GB" w:eastAsia="en-US"/>
        </w:rPr>
        <w:t>WF [1]</w:t>
      </w:r>
      <w:r w:rsidR="00250B33" w:rsidRPr="00250B33">
        <w:rPr>
          <w:lang w:val="en-GB" w:eastAsia="en-US"/>
        </w:rPr>
        <w:t xml:space="preserve">, </w:t>
      </w:r>
      <w:r w:rsidR="00B17636">
        <w:rPr>
          <w:lang w:val="en-GB" w:eastAsia="en-US"/>
        </w:rPr>
        <w:t>t</w:t>
      </w:r>
      <w:r w:rsidRPr="00250B33">
        <w:rPr>
          <w:lang w:val="en-GB" w:eastAsia="en-US"/>
        </w:rPr>
        <w:t>he</w:t>
      </w:r>
      <w:r>
        <w:rPr>
          <w:lang w:val="en-GB" w:eastAsia="en-US"/>
        </w:rPr>
        <w:t xml:space="preserve"> discussion on the</w:t>
      </w:r>
      <w:r w:rsidRPr="00250B33">
        <w:rPr>
          <w:lang w:val="en-GB" w:eastAsia="en-US"/>
        </w:rPr>
        <w:t xml:space="preserve"> need of PBCH reading for SSB index </w:t>
      </w:r>
      <w:r>
        <w:rPr>
          <w:lang w:val="en-GB" w:eastAsia="en-US"/>
        </w:rPr>
        <w:t xml:space="preserve">detection </w:t>
      </w:r>
      <w:r w:rsidR="00796D8F" w:rsidRPr="00250B33">
        <w:rPr>
          <w:lang w:val="en-GB" w:eastAsia="en-US"/>
        </w:rPr>
        <w:t xml:space="preserve">is attached below for reference. </w:t>
      </w:r>
    </w:p>
    <w:p w:rsidR="00AD26ED" w:rsidRPr="00BA0D18" w:rsidRDefault="00CA051E" w:rsidP="004B017B">
      <w:pPr>
        <w:jc w:val="both"/>
        <w:rPr>
          <w:shd w:val="pct15" w:color="auto" w:fill="FFFFFF"/>
        </w:rPr>
      </w:pPr>
      <w:r>
        <w:rPr>
          <w:noProof/>
          <w:shd w:val="pct15" w:color="auto" w:fill="FFFFFF"/>
        </w:rPr>
        <w:pict>
          <v:shapetype id="_x0000_t202" coordsize="21600,21600" o:spt="202" path="m,l,21600r21600,l21600,xe">
            <v:stroke joinstyle="miter"/>
            <v:path gradientshapeok="t" o:connecttype="rect"/>
          </v:shapetype>
          <v:shape id="_x0000_s1026" type="#_x0000_t202" style="position:absolute;left:0;text-align:left;margin-left:4.3pt;margin-top:6.9pt;width:467.5pt;height:49pt;z-index:251658240">
            <v:textbox style="mso-next-textbox:#_x0000_s1026">
              <w:txbxContent>
                <w:p w:rsidR="00820485" w:rsidRDefault="00820485" w:rsidP="00820485">
                  <w:pPr>
                    <w:rPr>
                      <w:lang w:val="en-GB"/>
                    </w:rPr>
                  </w:pPr>
                  <w:r w:rsidRPr="00820485">
                    <w:rPr>
                      <w:lang w:val="en-GB"/>
                    </w:rPr>
                    <w:t>PBCH Reading at SSB Index Detection</w:t>
                  </w:r>
                </w:p>
                <w:p w:rsidR="00820485" w:rsidRPr="00820485" w:rsidRDefault="00820485" w:rsidP="00820485">
                  <w:pPr>
                    <w:pStyle w:val="af5"/>
                    <w:numPr>
                      <w:ilvl w:val="0"/>
                      <w:numId w:val="7"/>
                    </w:numPr>
                  </w:pPr>
                  <w:r w:rsidRPr="00820485">
                    <w:rPr>
                      <w:lang w:val="en-GB"/>
                    </w:rPr>
                    <w:t>FFS whether PBCH reading is required for SSB index identification in FR1 for NR-U</w:t>
                  </w:r>
                </w:p>
                <w:p w:rsidR="009473BB" w:rsidRDefault="009473BB"/>
              </w:txbxContent>
            </v:textbox>
          </v:shape>
        </w:pict>
      </w:r>
      <w:bookmarkStart w:id="1" w:name="Title"/>
      <w:bookmarkStart w:id="2" w:name="DocumentFor"/>
      <w:bookmarkEnd w:id="1"/>
      <w:bookmarkEnd w:id="2"/>
    </w:p>
    <w:p w:rsidR="00AD26ED" w:rsidRPr="00BA0D18" w:rsidRDefault="00AD26ED" w:rsidP="004B017B">
      <w:pPr>
        <w:jc w:val="both"/>
        <w:rPr>
          <w:shd w:val="pct15" w:color="auto" w:fill="FFFFFF"/>
        </w:rPr>
      </w:pPr>
    </w:p>
    <w:p w:rsidR="00AD26ED" w:rsidRPr="00BA0D18" w:rsidRDefault="00AD26ED" w:rsidP="004B017B">
      <w:pPr>
        <w:jc w:val="both"/>
        <w:rPr>
          <w:shd w:val="pct15" w:color="auto" w:fill="FFFFFF"/>
        </w:rPr>
      </w:pPr>
    </w:p>
    <w:p w:rsidR="00A05D92" w:rsidRPr="00250B33" w:rsidRDefault="00347864" w:rsidP="00250B33">
      <w:pPr>
        <w:spacing w:after="0" w:line="240" w:lineRule="auto"/>
        <w:jc w:val="both"/>
        <w:rPr>
          <w:lang w:val="en-GB" w:eastAsia="en-US"/>
        </w:rPr>
      </w:pPr>
      <w:r>
        <w:rPr>
          <w:lang w:val="en-GB" w:eastAsia="en-US"/>
        </w:rPr>
        <w:t>For intra-frequency, a</w:t>
      </w:r>
      <w:r w:rsidR="00250B33">
        <w:rPr>
          <w:lang w:val="en-GB" w:eastAsia="en-US"/>
        </w:rPr>
        <w:t>ccording to 9.2.5.1</w:t>
      </w:r>
      <w:r w:rsidR="009B7780">
        <w:rPr>
          <w:lang w:val="en-GB" w:eastAsia="en-US"/>
        </w:rPr>
        <w:t xml:space="preserve"> in 38.133</w:t>
      </w:r>
      <w:r w:rsidR="00250B33">
        <w:rPr>
          <w:lang w:val="en-GB" w:eastAsia="en-US"/>
        </w:rPr>
        <w:t xml:space="preserve"> [2], the need of time index (SSB index) detection is depending on whether </w:t>
      </w:r>
      <w:r w:rsidR="00250B33" w:rsidRPr="00DD3199">
        <w:t>the associated SSB index</w:t>
      </w:r>
      <w:r w:rsidR="00250B33">
        <w:t xml:space="preserve"> is indicated to be reported and whether </w:t>
      </w:r>
      <w:r w:rsidR="00250B33" w:rsidRPr="00250B33">
        <w:rPr>
          <w:lang w:val="en-GB" w:eastAsia="en-US"/>
        </w:rPr>
        <w:t xml:space="preserve">the </w:t>
      </w:r>
      <w:r w:rsidR="00250B33" w:rsidRPr="00250B33">
        <w:rPr>
          <w:i/>
          <w:iCs/>
        </w:rPr>
        <w:t>deriveSSB-IndexFromCell</w:t>
      </w:r>
      <w:r w:rsidR="00250B33" w:rsidRPr="00250B33">
        <w:rPr>
          <w:rFonts w:cs="v4.2.0"/>
        </w:rPr>
        <w:t xml:space="preserve"> is enabled</w:t>
      </w:r>
      <w:r w:rsidR="00250B33">
        <w:rPr>
          <w:rFonts w:cs="v4.2.0"/>
        </w:rPr>
        <w:t xml:space="preserve">. The corresponding statement is attached below. </w:t>
      </w:r>
    </w:p>
    <w:p w:rsidR="00250B33" w:rsidRDefault="00250B33" w:rsidP="002D7A7C">
      <w:pPr>
        <w:spacing w:after="0" w:line="240" w:lineRule="auto"/>
        <w:rPr>
          <w:shd w:val="pct15" w:color="auto" w:fill="FFFFFF"/>
          <w:lang w:eastAsia="en-US"/>
        </w:rPr>
      </w:pPr>
    </w:p>
    <w:p w:rsidR="00D43279" w:rsidRDefault="00CA051E" w:rsidP="002D7A7C">
      <w:pPr>
        <w:spacing w:after="0" w:line="240" w:lineRule="auto"/>
        <w:rPr>
          <w:shd w:val="pct15" w:color="auto" w:fill="FFFFFF"/>
          <w:lang w:eastAsia="en-US"/>
        </w:rPr>
      </w:pPr>
      <w:r>
        <w:rPr>
          <w:noProof/>
        </w:rPr>
        <w:pict>
          <v:shape id="_x0000_s1028" type="#_x0000_t202" style="position:absolute;margin-left:4.3pt;margin-top:-.2pt;width:467.5pt;height:171.25pt;z-index:251659264">
            <v:textbox style="mso-next-textbox:#_x0000_s1028">
              <w:txbxContent>
                <w:p w:rsidR="00D43279" w:rsidRPr="00DD3199" w:rsidRDefault="00D43279" w:rsidP="00D43279">
                  <w:pPr>
                    <w:keepNext/>
                    <w:keepLines/>
                    <w:spacing w:before="120"/>
                    <w:ind w:left="1418" w:hanging="1418"/>
                    <w:outlineLvl w:val="3"/>
                  </w:pPr>
                  <w:r w:rsidRPr="00DD3199">
                    <w:rPr>
                      <w:rFonts w:ascii="Arial" w:hAnsi="Arial"/>
                      <w:sz w:val="24"/>
                    </w:rPr>
                    <w:t>9.2.5.1</w:t>
                  </w:r>
                  <w:r w:rsidRPr="00DD3199">
                    <w:rPr>
                      <w:rFonts w:ascii="Arial" w:hAnsi="Arial"/>
                      <w:sz w:val="24"/>
                    </w:rPr>
                    <w:tab/>
                    <w:t>Intrafrequency cell identification</w:t>
                  </w:r>
                </w:p>
                <w:p w:rsidR="00D43279" w:rsidRPr="00DD3199" w:rsidRDefault="00D43279" w:rsidP="00D43279">
                  <w:pPr>
                    <w:rPr>
                      <w:rFonts w:cs="v4.2.0"/>
                    </w:rPr>
                  </w:pPr>
                  <w:r w:rsidRPr="00DD3199">
                    <w:rPr>
                      <w:rFonts w:cs="v4.2.0"/>
                    </w:rPr>
                    <w:t xml:space="preserve">The UE shall be able to identify a new detectable intra frequency cell within </w:t>
                  </w:r>
                  <w:r w:rsidRPr="004227E6">
                    <w:rPr>
                      <w:rFonts w:cs="v4.2.0"/>
                      <w:highlight w:val="cyan"/>
                    </w:rPr>
                    <w:t>T</w:t>
                  </w:r>
                  <w:r w:rsidRPr="004227E6">
                    <w:rPr>
                      <w:rFonts w:cs="v4.2.0"/>
                      <w:highlight w:val="cyan"/>
                      <w:vertAlign w:val="subscript"/>
                    </w:rPr>
                    <w:t>identify_intra_without_</w:t>
                  </w:r>
                  <w:r w:rsidRPr="004227E6">
                    <w:rPr>
                      <w:rFonts w:eastAsia="Malgun Gothic" w:cs="v4.2.0"/>
                      <w:highlight w:val="cyan"/>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xml:space="preserve">, or </w:t>
                  </w:r>
                  <w:r w:rsidRPr="004227E6">
                    <w:rPr>
                      <w:rFonts w:cs="v4.2.0"/>
                      <w:highlight w:val="cyan"/>
                    </w:rPr>
                    <w:t>the UE is indicated that the neighbour cell is synchronous with the serving cell (</w:t>
                  </w:r>
                  <w:r w:rsidRPr="004227E6">
                    <w:rPr>
                      <w:i/>
                      <w:iCs/>
                      <w:highlight w:val="cyan"/>
                    </w:rPr>
                    <w:t>deriveSSB-IndexFromCell</w:t>
                  </w:r>
                  <w:r w:rsidRPr="004227E6">
                    <w:rPr>
                      <w:rFonts w:cs="v4.2.0"/>
                      <w:highlight w:val="cyan"/>
                    </w:rPr>
                    <w:t xml:space="preserve"> is enabled</w:t>
                  </w:r>
                  <w:r w:rsidRPr="00DD3199">
                    <w:rPr>
                      <w:rFonts w:cs="v4.2.0"/>
                    </w:rPr>
                    <w:t>). Otherwise UE shall be able to identify a new detectable intra frequency cell within T</w:t>
                  </w:r>
                  <w:r w:rsidRPr="00DD3199">
                    <w:rPr>
                      <w:rFonts w:cs="v4.2.0"/>
                      <w:vertAlign w:val="subscript"/>
                    </w:rPr>
                    <w:t>identify_intra_with_index</w:t>
                  </w:r>
                  <w:r w:rsidRPr="00DD3199">
                    <w:t>. The UE shall be able to identify a new detectable intra frequency SS block of an already detected cell within T</w:t>
                  </w:r>
                  <w:r w:rsidRPr="00DD3199">
                    <w:rPr>
                      <w:vertAlign w:val="subscript"/>
                    </w:rPr>
                    <w:t>identify_intra_without_index.</w:t>
                  </w:r>
                  <w:r w:rsidRPr="00DD3199">
                    <w:t xml:space="preserve"> </w:t>
                  </w:r>
                  <w:r w:rsidRPr="004227E6">
                    <w:rPr>
                      <w:highlight w:val="cyan"/>
                    </w:rPr>
                    <w:t xml:space="preserve">It is assumed that </w:t>
                  </w:r>
                  <w:r w:rsidRPr="004227E6">
                    <w:rPr>
                      <w:i/>
                      <w:iCs/>
                      <w:highlight w:val="cyan"/>
                    </w:rPr>
                    <w:t>deriveSSB-IndexFromCell</w:t>
                  </w:r>
                  <w:r w:rsidRPr="004227E6">
                    <w:rPr>
                      <w:iCs/>
                      <w:highlight w:val="cyan"/>
                    </w:rPr>
                    <w:t xml:space="preserve"> </w:t>
                  </w:r>
                  <w:r w:rsidRPr="004227E6">
                    <w:rPr>
                      <w:highlight w:val="cyan"/>
                    </w:rPr>
                    <w:t>is always enabled for FR1 TDD and FR2</w:t>
                  </w:r>
                  <w:r w:rsidRPr="00DD3199">
                    <w:t>.</w:t>
                  </w:r>
                </w:p>
                <w:p w:rsidR="00D43279" w:rsidRPr="00820485" w:rsidRDefault="00D43279" w:rsidP="00D43279"/>
                <w:p w:rsidR="00D43279" w:rsidRDefault="00D43279" w:rsidP="00D43279"/>
              </w:txbxContent>
            </v:textbox>
          </v:shape>
        </w:pict>
      </w:r>
    </w:p>
    <w:p w:rsidR="00D43279" w:rsidRDefault="00D43279" w:rsidP="002D7A7C">
      <w:pPr>
        <w:spacing w:after="0" w:line="240" w:lineRule="auto"/>
        <w:rPr>
          <w:shd w:val="pct15" w:color="auto" w:fill="FFFFFF"/>
          <w:lang w:eastAsia="en-US"/>
        </w:rPr>
      </w:pPr>
    </w:p>
    <w:p w:rsidR="00A05D92" w:rsidRDefault="00A05D92" w:rsidP="002D7A7C">
      <w:pPr>
        <w:spacing w:after="0" w:line="240" w:lineRule="auto"/>
        <w:rPr>
          <w:shd w:val="pct15" w:color="auto" w:fill="FFFFFF"/>
          <w:lang w:eastAsia="en-US"/>
        </w:rPr>
      </w:pPr>
    </w:p>
    <w:p w:rsidR="00D43279" w:rsidRDefault="00D43279" w:rsidP="00A05D92">
      <w:pPr>
        <w:rPr>
          <w:rFonts w:cs="v4.2.0"/>
        </w:rPr>
      </w:pPr>
    </w:p>
    <w:p w:rsidR="00D43279" w:rsidRDefault="00D43279" w:rsidP="00A05D92">
      <w:pPr>
        <w:rPr>
          <w:rFonts w:cs="v4.2.0"/>
        </w:rPr>
      </w:pPr>
    </w:p>
    <w:p w:rsidR="00D43279" w:rsidRDefault="00D43279" w:rsidP="00A05D92">
      <w:pPr>
        <w:rPr>
          <w:rFonts w:cs="v4.2.0"/>
        </w:rPr>
      </w:pPr>
    </w:p>
    <w:p w:rsidR="00D43279" w:rsidRDefault="00D43279" w:rsidP="00A05D92">
      <w:pPr>
        <w:rPr>
          <w:rFonts w:cs="v4.2.0"/>
        </w:rPr>
      </w:pPr>
    </w:p>
    <w:p w:rsidR="00D43279" w:rsidRDefault="00D43279" w:rsidP="00A05D92">
      <w:pPr>
        <w:rPr>
          <w:rFonts w:cs="v4.2.0"/>
        </w:rPr>
      </w:pPr>
    </w:p>
    <w:p w:rsidR="00D43279" w:rsidRDefault="00D43279" w:rsidP="00A05D92">
      <w:pPr>
        <w:rPr>
          <w:rFonts w:cs="v4.2.0"/>
        </w:rPr>
      </w:pPr>
    </w:p>
    <w:p w:rsidR="00407542" w:rsidRDefault="00407542" w:rsidP="00347864">
      <w:pPr>
        <w:jc w:val="both"/>
      </w:pPr>
    </w:p>
    <w:p w:rsidR="00A05D92" w:rsidRDefault="00196D92" w:rsidP="00407542">
      <w:pPr>
        <w:jc w:val="both"/>
        <w:rPr>
          <w:rFonts w:cs="v4.2.0"/>
        </w:rPr>
      </w:pPr>
      <w:r>
        <w:t>Besides, i</w:t>
      </w:r>
      <w:r w:rsidR="001B4851">
        <w:t xml:space="preserve">t can also observe that the </w:t>
      </w:r>
      <w:r w:rsidR="00407542">
        <w:t xml:space="preserve">operating band for NR-U is a </w:t>
      </w:r>
      <w:r w:rsidR="00B17636">
        <w:t>FR1 TDD band (n46</w:t>
      </w:r>
      <w:r>
        <w:t xml:space="preserve">). Therefore, the </w:t>
      </w:r>
      <w:r w:rsidR="00347864" w:rsidRPr="00347864">
        <w:rPr>
          <w:i/>
        </w:rPr>
        <w:t>der</w:t>
      </w:r>
      <w:r w:rsidR="00347864" w:rsidRPr="00347864">
        <w:rPr>
          <w:i/>
          <w:iCs/>
        </w:rPr>
        <w:t>i</w:t>
      </w:r>
      <w:r w:rsidR="00347864" w:rsidRPr="00196D92">
        <w:rPr>
          <w:i/>
          <w:iCs/>
        </w:rPr>
        <w:t>veSSB-IndexFromCell</w:t>
      </w:r>
      <w:r w:rsidR="00347864" w:rsidRPr="00196D92">
        <w:rPr>
          <w:iCs/>
        </w:rPr>
        <w:t xml:space="preserve"> </w:t>
      </w:r>
      <w:r w:rsidR="00347864">
        <w:t>should be</w:t>
      </w:r>
      <w:r w:rsidR="00347864" w:rsidRPr="00196D92">
        <w:t xml:space="preserve"> always enabled</w:t>
      </w:r>
      <w:r w:rsidR="00347864">
        <w:t xml:space="preserve">, and the SSB index detection is not required to </w:t>
      </w:r>
      <w:r w:rsidR="00347864" w:rsidRPr="00196D92">
        <w:rPr>
          <w:rFonts w:ascii="Calibri" w:eastAsia="SimSun" w:hAnsi="Calibri" w:cs="Arial" w:hint="eastAsia"/>
          <w:bCs/>
        </w:rPr>
        <w:t xml:space="preserve">identify a </w:t>
      </w:r>
      <w:r w:rsidR="00347864" w:rsidRPr="00196D92">
        <w:rPr>
          <w:rFonts w:ascii="Calibri" w:eastAsia="SimSun" w:hAnsi="Calibri" w:cs="Arial"/>
          <w:bCs/>
        </w:rPr>
        <w:t>new detectable intra frequency cell</w:t>
      </w:r>
      <w:r w:rsidR="00347864">
        <w:rPr>
          <w:rFonts w:ascii="Calibri" w:eastAsia="SimSun" w:hAnsi="Calibri" w:cs="Arial"/>
          <w:bCs/>
        </w:rPr>
        <w:t xml:space="preserve"> of NR-U.</w:t>
      </w:r>
    </w:p>
    <w:p w:rsidR="00407542" w:rsidRPr="00407542" w:rsidRDefault="00407542" w:rsidP="00407542">
      <w:pPr>
        <w:jc w:val="both"/>
        <w:rPr>
          <w:rFonts w:cs="v4.2.0"/>
        </w:rPr>
      </w:pPr>
    </w:p>
    <w:p w:rsidR="00D43279" w:rsidRDefault="0007363B" w:rsidP="0007363B">
      <w:pPr>
        <w:jc w:val="both"/>
        <w:rPr>
          <w:b/>
        </w:rPr>
      </w:pPr>
      <w:bookmarkStart w:id="3" w:name="_Ref31884255"/>
      <w:bookmarkStart w:id="4" w:name="_Ref32221943"/>
      <w:r w:rsidRPr="00630F9B">
        <w:rPr>
          <w:rFonts w:ascii="Calibri" w:eastAsia="SimSun" w:hAnsi="Calibri" w:cs="Arial"/>
          <w:b/>
          <w:bCs/>
        </w:rPr>
        <w:lastRenderedPageBreak/>
        <w:t xml:space="preserve">Observation </w:t>
      </w:r>
      <w:r w:rsidR="005A28D7" w:rsidRPr="00630F9B">
        <w:rPr>
          <w:rFonts w:ascii="Calibri" w:eastAsia="SimSun" w:hAnsi="Calibri" w:cs="Arial"/>
          <w:b/>
          <w:bCs/>
        </w:rPr>
        <w:fldChar w:fldCharType="begin"/>
      </w:r>
      <w:r w:rsidRPr="00630F9B">
        <w:rPr>
          <w:rFonts w:ascii="Calibri" w:eastAsia="SimSun" w:hAnsi="Calibri" w:cs="Arial"/>
          <w:b/>
          <w:bCs/>
        </w:rPr>
        <w:instrText xml:space="preserve"> SEQ Observation \* ARABIC </w:instrText>
      </w:r>
      <w:r w:rsidR="005A28D7" w:rsidRPr="00630F9B">
        <w:rPr>
          <w:rFonts w:ascii="Calibri" w:eastAsia="SimSun" w:hAnsi="Calibri" w:cs="Arial"/>
          <w:b/>
          <w:bCs/>
        </w:rPr>
        <w:fldChar w:fldCharType="separate"/>
      </w:r>
      <w:r w:rsidR="009B7196">
        <w:rPr>
          <w:rFonts w:ascii="Calibri" w:eastAsia="SimSun" w:hAnsi="Calibri" w:cs="Arial"/>
          <w:b/>
          <w:bCs/>
          <w:noProof/>
        </w:rPr>
        <w:t>1</w:t>
      </w:r>
      <w:r w:rsidR="005A28D7" w:rsidRPr="00630F9B">
        <w:rPr>
          <w:rFonts w:ascii="Calibri" w:eastAsia="SimSun" w:hAnsi="Calibri" w:cs="Arial"/>
          <w:b/>
          <w:bCs/>
        </w:rPr>
        <w:fldChar w:fldCharType="end"/>
      </w:r>
      <w:r w:rsidRPr="00630F9B">
        <w:rPr>
          <w:rFonts w:ascii="Calibri" w:eastAsia="SimSun" w:hAnsi="Calibri" w:cs="Arial"/>
          <w:b/>
          <w:bCs/>
        </w:rPr>
        <w:t xml:space="preserve">: </w:t>
      </w:r>
      <w:r w:rsidR="004227E6" w:rsidRPr="004227E6">
        <w:rPr>
          <w:b/>
        </w:rPr>
        <w:t xml:space="preserve">To </w:t>
      </w:r>
      <w:r w:rsidR="004227E6" w:rsidRPr="004227E6">
        <w:rPr>
          <w:rFonts w:cs="v4.2.0"/>
          <w:b/>
        </w:rPr>
        <w:t>identify a new detectable intra frequency cell</w:t>
      </w:r>
      <w:r w:rsidR="00630F9B" w:rsidRPr="004227E6">
        <w:rPr>
          <w:b/>
        </w:rPr>
        <w:t xml:space="preserve">, </w:t>
      </w:r>
      <w:r w:rsidR="00250B33">
        <w:rPr>
          <w:b/>
        </w:rPr>
        <w:t>SSB</w:t>
      </w:r>
      <w:r w:rsidR="00AF1F8A" w:rsidRPr="004227E6">
        <w:rPr>
          <w:b/>
        </w:rPr>
        <w:t xml:space="preserve"> index detection is not required if </w:t>
      </w:r>
      <w:r w:rsidR="00AF1F8A" w:rsidRPr="004227E6">
        <w:rPr>
          <w:b/>
          <w:i/>
          <w:iCs/>
        </w:rPr>
        <w:t>deriveSSB-IndexFromCell</w:t>
      </w:r>
      <w:r w:rsidR="00AF1F8A" w:rsidRPr="004227E6">
        <w:rPr>
          <w:rFonts w:cs="v4.2.0"/>
          <w:b/>
        </w:rPr>
        <w:t xml:space="preserve"> is enabled</w:t>
      </w:r>
      <w:r w:rsidRPr="004227E6">
        <w:rPr>
          <w:b/>
        </w:rPr>
        <w:t>.</w:t>
      </w:r>
      <w:bookmarkEnd w:id="3"/>
      <w:r w:rsidRPr="004227E6">
        <w:rPr>
          <w:b/>
        </w:rPr>
        <w:t xml:space="preserve"> </w:t>
      </w:r>
      <w:r w:rsidR="00196D92">
        <w:rPr>
          <w:b/>
        </w:rPr>
        <w:t>And, i</w:t>
      </w:r>
      <w:r w:rsidR="00196D92" w:rsidRPr="00196D92">
        <w:rPr>
          <w:b/>
        </w:rPr>
        <w:t xml:space="preserve">t is assumed that </w:t>
      </w:r>
      <w:r w:rsidR="00196D92" w:rsidRPr="00196D92">
        <w:rPr>
          <w:b/>
          <w:i/>
          <w:iCs/>
        </w:rPr>
        <w:t>deriveSSB-IndexFromCell</w:t>
      </w:r>
      <w:r w:rsidR="00196D92" w:rsidRPr="00196D92">
        <w:rPr>
          <w:b/>
          <w:iCs/>
        </w:rPr>
        <w:t xml:space="preserve"> </w:t>
      </w:r>
      <w:r w:rsidR="00196D92" w:rsidRPr="00196D92">
        <w:rPr>
          <w:b/>
        </w:rPr>
        <w:t>is always enabled for FR1 TDD and FR2.</w:t>
      </w:r>
      <w:bookmarkEnd w:id="4"/>
    </w:p>
    <w:p w:rsidR="00196D92" w:rsidRPr="00196D92" w:rsidRDefault="00D43279" w:rsidP="0007363B">
      <w:pPr>
        <w:jc w:val="both"/>
        <w:rPr>
          <w:rFonts w:eastAsia="新細明體"/>
          <w:b/>
        </w:rPr>
      </w:pPr>
      <w:bookmarkStart w:id="5" w:name="_Ref32221946"/>
      <w:r w:rsidRPr="00630F9B">
        <w:rPr>
          <w:rFonts w:ascii="Calibri" w:eastAsia="SimSun" w:hAnsi="Calibri" w:cs="Arial"/>
          <w:b/>
          <w:bCs/>
        </w:rPr>
        <w:t xml:space="preserve">Observation </w:t>
      </w:r>
      <w:r w:rsidR="005A28D7" w:rsidRPr="00630F9B">
        <w:rPr>
          <w:rFonts w:ascii="Calibri" w:eastAsia="SimSun" w:hAnsi="Calibri" w:cs="Arial"/>
          <w:b/>
          <w:bCs/>
        </w:rPr>
        <w:fldChar w:fldCharType="begin"/>
      </w:r>
      <w:r w:rsidRPr="00630F9B">
        <w:rPr>
          <w:rFonts w:ascii="Calibri" w:eastAsia="SimSun" w:hAnsi="Calibri" w:cs="Arial"/>
          <w:b/>
          <w:bCs/>
        </w:rPr>
        <w:instrText xml:space="preserve"> SEQ Observation \* ARABIC </w:instrText>
      </w:r>
      <w:r w:rsidR="005A28D7" w:rsidRPr="00630F9B">
        <w:rPr>
          <w:rFonts w:ascii="Calibri" w:eastAsia="SimSun" w:hAnsi="Calibri" w:cs="Arial"/>
          <w:b/>
          <w:bCs/>
        </w:rPr>
        <w:fldChar w:fldCharType="separate"/>
      </w:r>
      <w:r w:rsidR="009B7196">
        <w:rPr>
          <w:rFonts w:ascii="Calibri" w:eastAsia="SimSun" w:hAnsi="Calibri" w:cs="Arial"/>
          <w:b/>
          <w:bCs/>
          <w:noProof/>
        </w:rPr>
        <w:t>2</w:t>
      </w:r>
      <w:r w:rsidR="005A28D7" w:rsidRPr="00630F9B">
        <w:rPr>
          <w:rFonts w:ascii="Calibri" w:eastAsia="SimSun" w:hAnsi="Calibri" w:cs="Arial"/>
          <w:b/>
          <w:bCs/>
        </w:rPr>
        <w:fldChar w:fldCharType="end"/>
      </w:r>
      <w:r w:rsidRPr="00630F9B">
        <w:rPr>
          <w:rFonts w:ascii="Calibri" w:eastAsia="SimSun" w:hAnsi="Calibri" w:cs="Arial"/>
          <w:b/>
          <w:bCs/>
        </w:rPr>
        <w:t xml:space="preserve">: </w:t>
      </w:r>
      <w:r w:rsidR="001B4851">
        <w:rPr>
          <w:rFonts w:ascii="Calibri" w:eastAsia="SimSun" w:hAnsi="Calibri" w:cs="Arial"/>
          <w:b/>
          <w:bCs/>
        </w:rPr>
        <w:t xml:space="preserve">Currently, </w:t>
      </w:r>
      <w:r w:rsidR="00196D92">
        <w:rPr>
          <w:b/>
        </w:rPr>
        <w:t>the current operating</w:t>
      </w:r>
      <w:r w:rsidR="001B4851">
        <w:rPr>
          <w:b/>
        </w:rPr>
        <w:t xml:space="preserve"> band for NR-U is FR1 TDD</w:t>
      </w:r>
      <w:r w:rsidRPr="00AF1F8A">
        <w:rPr>
          <w:b/>
        </w:rPr>
        <w:t>.</w:t>
      </w:r>
      <w:bookmarkEnd w:id="5"/>
      <w:r w:rsidRPr="00630F9B">
        <w:rPr>
          <w:b/>
        </w:rPr>
        <w:t xml:space="preserve"> </w:t>
      </w:r>
    </w:p>
    <w:p w:rsidR="00CE4AB5" w:rsidRPr="00250B33" w:rsidRDefault="001B4851" w:rsidP="00250B33">
      <w:pPr>
        <w:pStyle w:val="af1"/>
        <w:jc w:val="both"/>
        <w:rPr>
          <w:rFonts w:ascii="Calibri" w:eastAsia="新細明體" w:hAnsi="Calibri" w:cs="Arial"/>
          <w:bCs/>
          <w:sz w:val="22"/>
          <w:szCs w:val="22"/>
        </w:rPr>
      </w:pPr>
      <w:bookmarkStart w:id="6" w:name="_Ref32221957"/>
      <w:r w:rsidRPr="00D43279">
        <w:rPr>
          <w:rFonts w:ascii="Calibri" w:eastAsia="SimSun" w:hAnsi="Calibri" w:cs="Arial"/>
          <w:bCs/>
          <w:sz w:val="22"/>
          <w:szCs w:val="22"/>
        </w:rPr>
        <w:t xml:space="preserve">Proposal </w:t>
      </w:r>
      <w:r w:rsidR="005A28D7" w:rsidRPr="00D43279">
        <w:rPr>
          <w:rFonts w:ascii="Calibri" w:eastAsia="SimSun" w:hAnsi="Calibri" w:cs="Arial"/>
          <w:bCs/>
          <w:sz w:val="22"/>
          <w:szCs w:val="22"/>
        </w:rPr>
        <w:fldChar w:fldCharType="begin"/>
      </w:r>
      <w:r w:rsidRPr="00D43279">
        <w:rPr>
          <w:rFonts w:ascii="Calibri" w:eastAsia="SimSun" w:hAnsi="Calibri" w:cs="Arial"/>
          <w:bCs/>
          <w:sz w:val="22"/>
          <w:szCs w:val="22"/>
        </w:rPr>
        <w:instrText xml:space="preserve"> SEQ Proposal \* ARABIC </w:instrText>
      </w:r>
      <w:r w:rsidR="005A28D7" w:rsidRPr="00D43279">
        <w:rPr>
          <w:rFonts w:ascii="Calibri" w:eastAsia="SimSun" w:hAnsi="Calibri" w:cs="Arial"/>
          <w:bCs/>
          <w:sz w:val="22"/>
          <w:szCs w:val="22"/>
        </w:rPr>
        <w:fldChar w:fldCharType="separate"/>
      </w:r>
      <w:r w:rsidR="009B7196">
        <w:rPr>
          <w:rFonts w:ascii="Calibri" w:eastAsia="SimSun" w:hAnsi="Calibri" w:cs="Arial"/>
          <w:bCs/>
          <w:noProof/>
          <w:sz w:val="22"/>
          <w:szCs w:val="22"/>
        </w:rPr>
        <w:t>1</w:t>
      </w:r>
      <w:r w:rsidR="005A28D7" w:rsidRPr="00D43279">
        <w:rPr>
          <w:rFonts w:ascii="Calibri" w:eastAsia="SimSun" w:hAnsi="Calibri" w:cs="Arial"/>
          <w:bCs/>
          <w:sz w:val="22"/>
          <w:szCs w:val="22"/>
        </w:rPr>
        <w:fldChar w:fldCharType="end"/>
      </w:r>
      <w:r w:rsidRPr="00D43279">
        <w:rPr>
          <w:rFonts w:ascii="Calibri" w:eastAsia="SimSun" w:hAnsi="Calibri" w:cs="Arial"/>
          <w:bCs/>
          <w:sz w:val="22"/>
          <w:szCs w:val="22"/>
        </w:rPr>
        <w:t xml:space="preserve">: </w:t>
      </w:r>
      <w:r w:rsidR="002A02DB">
        <w:rPr>
          <w:rFonts w:ascii="Calibri" w:eastAsia="SimSun" w:hAnsi="Calibri" w:cs="Arial"/>
          <w:bCs/>
          <w:sz w:val="22"/>
          <w:szCs w:val="22"/>
        </w:rPr>
        <w:t xml:space="preserve">For NR-U operating </w:t>
      </w:r>
      <w:r w:rsidR="00196D92" w:rsidRPr="00196D92">
        <w:rPr>
          <w:rFonts w:ascii="Calibri" w:eastAsia="SimSun" w:hAnsi="Calibri" w:cs="Arial"/>
          <w:bCs/>
          <w:sz w:val="22"/>
          <w:szCs w:val="22"/>
        </w:rPr>
        <w:t xml:space="preserve">band, </w:t>
      </w:r>
      <w:r w:rsidR="00196D92" w:rsidRPr="00196D92">
        <w:rPr>
          <w:i/>
          <w:iCs/>
          <w:sz w:val="22"/>
          <w:szCs w:val="22"/>
        </w:rPr>
        <w:t>deriveSSB-IndexFromCell</w:t>
      </w:r>
      <w:r w:rsidR="00196D92" w:rsidRPr="00196D92">
        <w:rPr>
          <w:iCs/>
          <w:sz w:val="22"/>
          <w:szCs w:val="22"/>
        </w:rPr>
        <w:t xml:space="preserve"> </w:t>
      </w:r>
      <w:r w:rsidR="00347864">
        <w:rPr>
          <w:sz w:val="22"/>
          <w:szCs w:val="22"/>
        </w:rPr>
        <w:t>should</w:t>
      </w:r>
      <w:r w:rsidR="00196D92" w:rsidRPr="00196D92">
        <w:rPr>
          <w:sz w:val="22"/>
          <w:szCs w:val="22"/>
        </w:rPr>
        <w:t xml:space="preserve"> always </w:t>
      </w:r>
      <w:r w:rsidR="00347864">
        <w:rPr>
          <w:sz w:val="22"/>
          <w:szCs w:val="22"/>
        </w:rPr>
        <w:t xml:space="preserve">be </w:t>
      </w:r>
      <w:r w:rsidR="00196D92" w:rsidRPr="00196D92">
        <w:rPr>
          <w:sz w:val="22"/>
          <w:szCs w:val="22"/>
        </w:rPr>
        <w:t>enabled</w:t>
      </w:r>
      <w:r w:rsidR="00347864">
        <w:rPr>
          <w:rFonts w:ascii="Calibri" w:eastAsia="SimSun" w:hAnsi="Calibri" w:cs="Arial"/>
          <w:bCs/>
          <w:sz w:val="22"/>
          <w:szCs w:val="22"/>
        </w:rPr>
        <w:t xml:space="preserve">, and SSB index detection is not required to </w:t>
      </w:r>
      <w:r w:rsidR="00347864" w:rsidRPr="00196D92">
        <w:rPr>
          <w:rFonts w:ascii="Calibri" w:eastAsia="SimSun" w:hAnsi="Calibri" w:cs="Arial" w:hint="eastAsia"/>
          <w:bCs/>
          <w:sz w:val="22"/>
          <w:szCs w:val="22"/>
        </w:rPr>
        <w:t xml:space="preserve">identify a </w:t>
      </w:r>
      <w:r w:rsidR="00347864" w:rsidRPr="00196D92">
        <w:rPr>
          <w:rFonts w:ascii="Calibri" w:eastAsia="SimSun" w:hAnsi="Calibri" w:cs="Arial"/>
          <w:bCs/>
          <w:sz w:val="22"/>
          <w:szCs w:val="22"/>
        </w:rPr>
        <w:t>new detectable intra frequency cell</w:t>
      </w:r>
      <w:r w:rsidR="00347864">
        <w:rPr>
          <w:rFonts w:ascii="Calibri" w:eastAsia="SimSun" w:hAnsi="Calibri" w:cs="Arial"/>
          <w:bCs/>
          <w:sz w:val="22"/>
          <w:szCs w:val="22"/>
        </w:rPr>
        <w:t>.</w:t>
      </w:r>
      <w:bookmarkEnd w:id="6"/>
      <w:r w:rsidR="00347864">
        <w:rPr>
          <w:rFonts w:ascii="Calibri" w:eastAsia="SimSun" w:hAnsi="Calibri" w:cs="Arial"/>
          <w:bCs/>
          <w:sz w:val="22"/>
          <w:szCs w:val="22"/>
        </w:rPr>
        <w:t xml:space="preserve"> </w:t>
      </w:r>
      <w:r w:rsidR="00196D92" w:rsidRPr="00196D92">
        <w:rPr>
          <w:rFonts w:ascii="Calibri" w:eastAsia="SimSun" w:hAnsi="Calibri" w:cs="Arial"/>
          <w:bCs/>
          <w:sz w:val="22"/>
          <w:szCs w:val="22"/>
        </w:rPr>
        <w:t xml:space="preserve"> </w:t>
      </w:r>
    </w:p>
    <w:p w:rsidR="00D43279" w:rsidRDefault="00D43279" w:rsidP="002D7A7C">
      <w:pPr>
        <w:spacing w:after="0" w:line="240" w:lineRule="auto"/>
        <w:rPr>
          <w:lang w:eastAsia="en-US"/>
        </w:rPr>
      </w:pPr>
    </w:p>
    <w:p w:rsidR="00250B33" w:rsidRDefault="00CE4AB5" w:rsidP="00347864">
      <w:pPr>
        <w:spacing w:after="0" w:line="240" w:lineRule="auto"/>
        <w:jc w:val="both"/>
        <w:rPr>
          <w:rFonts w:eastAsia="新細明體"/>
        </w:rPr>
      </w:pPr>
      <w:r>
        <w:rPr>
          <w:rFonts w:eastAsia="新細明體" w:hint="eastAsia"/>
        </w:rPr>
        <w:t>Similar</w:t>
      </w:r>
      <w:r w:rsidR="00400543">
        <w:rPr>
          <w:rFonts w:eastAsia="新細明體"/>
        </w:rPr>
        <w:t>ly</w:t>
      </w:r>
      <w:r>
        <w:rPr>
          <w:rFonts w:eastAsia="新細明體" w:hint="eastAsia"/>
        </w:rPr>
        <w:t>, for inter-freq</w:t>
      </w:r>
      <w:r w:rsidR="00C42880">
        <w:rPr>
          <w:rFonts w:eastAsia="新細明體"/>
        </w:rPr>
        <w:t>uency</w:t>
      </w:r>
      <w:r>
        <w:rPr>
          <w:rFonts w:eastAsia="新細明體" w:hint="eastAsia"/>
        </w:rPr>
        <w:t xml:space="preserve">, </w:t>
      </w:r>
      <w:r w:rsidR="00917E30" w:rsidRPr="00196D92">
        <w:rPr>
          <w:i/>
          <w:iCs/>
        </w:rPr>
        <w:t>deriveSSB-IndexFromCell</w:t>
      </w:r>
      <w:r w:rsidR="00917E30" w:rsidRPr="00196D92">
        <w:rPr>
          <w:iCs/>
        </w:rPr>
        <w:t xml:space="preserve"> </w:t>
      </w:r>
      <w:r w:rsidR="00917E30">
        <w:rPr>
          <w:rFonts w:eastAsia="新細明體" w:hint="eastAsia"/>
        </w:rPr>
        <w:t>should be</w:t>
      </w:r>
      <w:r w:rsidR="00917E30" w:rsidRPr="00196D92">
        <w:t xml:space="preserve"> always enabled</w:t>
      </w:r>
      <w:r w:rsidR="002A02DB">
        <w:rPr>
          <w:rFonts w:eastAsia="新細明體" w:hint="eastAsia"/>
        </w:rPr>
        <w:t xml:space="preserve"> in the current NR-U </w:t>
      </w:r>
      <w:r w:rsidR="002A02DB">
        <w:rPr>
          <w:rFonts w:eastAsia="新細明體"/>
        </w:rPr>
        <w:t xml:space="preserve">operating </w:t>
      </w:r>
      <w:r w:rsidR="00917E30">
        <w:rPr>
          <w:rFonts w:eastAsia="新細明體" w:hint="eastAsia"/>
        </w:rPr>
        <w:t>FR1 TDD band. However, it will still requires time</w:t>
      </w:r>
      <w:r w:rsidR="00DF017B">
        <w:rPr>
          <w:rFonts w:eastAsia="新細明體"/>
        </w:rPr>
        <w:t>/SSB</w:t>
      </w:r>
      <w:r w:rsidR="00917E30">
        <w:rPr>
          <w:rFonts w:eastAsia="新細明體" w:hint="eastAsia"/>
        </w:rPr>
        <w:t xml:space="preserve"> index detect</w:t>
      </w:r>
      <w:r w:rsidR="00FE7574">
        <w:rPr>
          <w:rFonts w:eastAsia="新細明體" w:hint="eastAsia"/>
        </w:rPr>
        <w:t xml:space="preserve">ion for </w:t>
      </w:r>
      <w:r w:rsidR="00917E30">
        <w:rPr>
          <w:rFonts w:eastAsia="新細明體" w:hint="eastAsia"/>
        </w:rPr>
        <w:t xml:space="preserve">UE </w:t>
      </w:r>
      <w:r w:rsidR="00FE7574">
        <w:rPr>
          <w:rFonts w:eastAsia="新細明體" w:hint="eastAsia"/>
        </w:rPr>
        <w:t xml:space="preserve">to </w:t>
      </w:r>
      <w:r w:rsidR="00917E30">
        <w:rPr>
          <w:rFonts w:eastAsia="新細明體" w:hint="eastAsia"/>
        </w:rPr>
        <w:t>identify the first</w:t>
      </w:r>
      <w:r w:rsidR="00250B33">
        <w:rPr>
          <w:rFonts w:eastAsia="新細明體" w:hint="eastAsia"/>
        </w:rPr>
        <w:t xml:space="preserve"> cell on </w:t>
      </w:r>
      <w:r w:rsidR="00250B33">
        <w:rPr>
          <w:rFonts w:eastAsia="新細明體"/>
        </w:rPr>
        <w:t>one</w:t>
      </w:r>
      <w:r w:rsidR="00917E30">
        <w:rPr>
          <w:rFonts w:eastAsia="新細明體" w:hint="eastAsia"/>
        </w:rPr>
        <w:t xml:space="preserve"> inter-frequency, if UE </w:t>
      </w:r>
      <w:r w:rsidR="00917E30">
        <w:t xml:space="preserve">is </w:t>
      </w:r>
      <w:r w:rsidR="00917E30" w:rsidRPr="00DD3199">
        <w:t>indicated to report SSB based RRM measurement result with the associated SSB index</w:t>
      </w:r>
      <w:r w:rsidR="00917E30">
        <w:rPr>
          <w:rFonts w:eastAsia="新細明體" w:hint="eastAsia"/>
        </w:rPr>
        <w:t>.</w:t>
      </w:r>
    </w:p>
    <w:p w:rsidR="00E278CB" w:rsidRDefault="00917E30" w:rsidP="002D7A7C">
      <w:pPr>
        <w:spacing w:after="0" w:line="240" w:lineRule="auto"/>
        <w:rPr>
          <w:rFonts w:eastAsia="新細明體"/>
        </w:rPr>
      </w:pPr>
      <w:r>
        <w:rPr>
          <w:rFonts w:eastAsia="新細明體" w:hint="eastAsia"/>
        </w:rPr>
        <w:t xml:space="preserve"> </w:t>
      </w:r>
    </w:p>
    <w:p w:rsidR="00CE4AB5" w:rsidRDefault="002C2847" w:rsidP="002D7A7C">
      <w:pPr>
        <w:spacing w:after="0" w:line="240" w:lineRule="auto"/>
        <w:rPr>
          <w:rFonts w:eastAsia="新細明體"/>
        </w:rPr>
      </w:pPr>
      <w:r>
        <w:rPr>
          <w:rFonts w:eastAsia="新細明體"/>
        </w:rPr>
        <w:t xml:space="preserve">For </w:t>
      </w:r>
      <w:r>
        <w:rPr>
          <w:rFonts w:eastAsia="新細明體" w:hint="eastAsia"/>
        </w:rPr>
        <w:t>NR-U</w:t>
      </w:r>
      <w:r>
        <w:rPr>
          <w:rFonts w:eastAsia="新細明體"/>
        </w:rPr>
        <w:t xml:space="preserve">, </w:t>
      </w:r>
      <w:r w:rsidR="00347864">
        <w:rPr>
          <w:rFonts w:eastAsia="新細明體" w:hint="eastAsia"/>
        </w:rPr>
        <w:t xml:space="preserve">the </w:t>
      </w:r>
      <w:r w:rsidR="00347864">
        <w:rPr>
          <w:rFonts w:eastAsia="新細明體"/>
        </w:rPr>
        <w:t>SSB</w:t>
      </w:r>
      <w:r w:rsidR="00347864">
        <w:rPr>
          <w:rFonts w:eastAsia="新細明體" w:hint="eastAsia"/>
        </w:rPr>
        <w:t xml:space="preserve"> index</w:t>
      </w:r>
      <w:r w:rsidR="00347864">
        <w:rPr>
          <w:rFonts w:eastAsia="新細明體"/>
        </w:rPr>
        <w:t xml:space="preserve"> </w:t>
      </w:r>
      <w:r w:rsidR="00250B33">
        <w:rPr>
          <w:rFonts w:eastAsia="新細明體"/>
        </w:rPr>
        <w:t xml:space="preserve">can be derived by the </w:t>
      </w:r>
      <w:r w:rsidR="00E278CB">
        <w:rPr>
          <w:rFonts w:eastAsia="新細明體" w:hint="eastAsia"/>
        </w:rPr>
        <w:t xml:space="preserve">DMRS </w:t>
      </w:r>
      <w:r w:rsidR="009B7196">
        <w:rPr>
          <w:rFonts w:eastAsia="新細明體"/>
        </w:rPr>
        <w:t xml:space="preserve">sequence </w:t>
      </w:r>
      <w:r w:rsidR="00E278CB">
        <w:rPr>
          <w:rFonts w:eastAsia="新細明體"/>
        </w:rPr>
        <w:t>descrambling</w:t>
      </w:r>
      <w:r w:rsidR="00E278CB">
        <w:rPr>
          <w:rFonts w:eastAsia="新細明體" w:hint="eastAsia"/>
        </w:rPr>
        <w:t xml:space="preserve"> while the </w:t>
      </w:r>
      <w:r w:rsidR="00896856">
        <w:rPr>
          <w:rFonts w:eastAsia="新細明體"/>
        </w:rPr>
        <w:t xml:space="preserve">QCLed assumption </w:t>
      </w:r>
      <w:r w:rsidR="00E278CB">
        <w:rPr>
          <w:rFonts w:eastAsia="新細明體" w:hint="eastAsia"/>
        </w:rPr>
        <w:t xml:space="preserve">Q </w:t>
      </w:r>
      <w:r w:rsidR="00E278CB">
        <w:rPr>
          <w:rFonts w:eastAsia="新細明體"/>
        </w:rPr>
        <w:t xml:space="preserve">value </w:t>
      </w:r>
      <w:r w:rsidR="00E278CB">
        <w:rPr>
          <w:rFonts w:eastAsia="新細明體" w:hint="eastAsia"/>
        </w:rPr>
        <w:t xml:space="preserve">is provided by higher layer signaling, </w:t>
      </w:r>
      <w:r w:rsidR="00347864">
        <w:rPr>
          <w:rFonts w:eastAsia="新細明體"/>
        </w:rPr>
        <w:t>i.e. SSB index</w:t>
      </w:r>
      <w:r w:rsidR="00250B33">
        <w:rPr>
          <w:rFonts w:eastAsia="新細明體"/>
        </w:rPr>
        <w:t xml:space="preserve"> = mod (3 bits carried on DRMS, Q). Therefore, if the Q value is provided by </w:t>
      </w:r>
      <w:r w:rsidR="00250B33">
        <w:rPr>
          <w:rFonts w:eastAsia="新細明體" w:hint="eastAsia"/>
        </w:rPr>
        <w:t>higher layer signaling</w:t>
      </w:r>
      <w:r w:rsidR="00250B33">
        <w:rPr>
          <w:rFonts w:eastAsia="新細明體"/>
        </w:rPr>
        <w:t xml:space="preserve">, </w:t>
      </w:r>
      <w:r w:rsidR="00250B33">
        <w:rPr>
          <w:rFonts w:eastAsia="新細明體" w:hint="eastAsia"/>
        </w:rPr>
        <w:t>PBCH reading is not required</w:t>
      </w:r>
      <w:r w:rsidR="00347864">
        <w:rPr>
          <w:rFonts w:eastAsia="新細明體"/>
        </w:rPr>
        <w:t xml:space="preserve"> but</w:t>
      </w:r>
      <w:r w:rsidR="00250B33">
        <w:rPr>
          <w:rFonts w:eastAsia="新細明體"/>
        </w:rPr>
        <w:t xml:space="preserve"> DRMS descrambling</w:t>
      </w:r>
      <w:r>
        <w:rPr>
          <w:rFonts w:eastAsia="新細明體"/>
        </w:rPr>
        <w:t xml:space="preserve"> of 3 samples,</w:t>
      </w:r>
      <w:r w:rsidR="00250B33">
        <w:rPr>
          <w:rFonts w:eastAsia="新細明體"/>
        </w:rPr>
        <w:t xml:space="preserve"> </w:t>
      </w:r>
      <w:r>
        <w:rPr>
          <w:rFonts w:eastAsia="新細明體"/>
        </w:rPr>
        <w:t xml:space="preserve">as assumed in Rel.15, </w:t>
      </w:r>
      <w:r w:rsidR="00347864">
        <w:rPr>
          <w:rFonts w:eastAsia="新細明體"/>
        </w:rPr>
        <w:t xml:space="preserve">is required </w:t>
      </w:r>
      <w:r w:rsidR="00250B33">
        <w:rPr>
          <w:rFonts w:eastAsia="新細明體"/>
        </w:rPr>
        <w:t xml:space="preserve">for </w:t>
      </w:r>
      <w:r w:rsidR="00250B33">
        <w:rPr>
          <w:rFonts w:eastAsia="新細明體" w:hint="eastAsia"/>
        </w:rPr>
        <w:t xml:space="preserve">UE to identify the first cell on </w:t>
      </w:r>
      <w:r w:rsidR="00250B33">
        <w:rPr>
          <w:rFonts w:eastAsia="新細明體"/>
        </w:rPr>
        <w:t>one</w:t>
      </w:r>
      <w:r w:rsidR="00250B33">
        <w:rPr>
          <w:rFonts w:eastAsia="新細明體" w:hint="eastAsia"/>
        </w:rPr>
        <w:t xml:space="preserve"> inter-frequency</w:t>
      </w:r>
      <w:r w:rsidR="00250B33">
        <w:rPr>
          <w:rFonts w:eastAsia="新細明體"/>
        </w:rPr>
        <w:t xml:space="preserve">. </w:t>
      </w:r>
    </w:p>
    <w:p w:rsidR="00E278CB" w:rsidRPr="007602BB" w:rsidRDefault="00E278CB" w:rsidP="002D7A7C">
      <w:pPr>
        <w:spacing w:after="0" w:line="240" w:lineRule="auto"/>
        <w:rPr>
          <w:rFonts w:eastAsia="新細明體"/>
        </w:rPr>
      </w:pPr>
    </w:p>
    <w:p w:rsidR="002C2847" w:rsidRPr="002A02DB" w:rsidRDefault="00630F9B" w:rsidP="00250B33">
      <w:pPr>
        <w:jc w:val="both"/>
        <w:rPr>
          <w:b/>
        </w:rPr>
      </w:pPr>
      <w:bookmarkStart w:id="7" w:name="_Ref32221948"/>
      <w:r w:rsidRPr="00630F9B">
        <w:rPr>
          <w:rFonts w:ascii="Calibri" w:eastAsia="SimSun" w:hAnsi="Calibri" w:cs="Arial"/>
          <w:b/>
          <w:bCs/>
        </w:rPr>
        <w:t xml:space="preserve">Observation </w:t>
      </w:r>
      <w:r w:rsidR="005A28D7" w:rsidRPr="00630F9B">
        <w:rPr>
          <w:rFonts w:ascii="Calibri" w:eastAsia="SimSun" w:hAnsi="Calibri" w:cs="Arial"/>
          <w:b/>
          <w:bCs/>
        </w:rPr>
        <w:fldChar w:fldCharType="begin"/>
      </w:r>
      <w:r w:rsidRPr="00630F9B">
        <w:rPr>
          <w:rFonts w:ascii="Calibri" w:eastAsia="SimSun" w:hAnsi="Calibri" w:cs="Arial"/>
          <w:b/>
          <w:bCs/>
        </w:rPr>
        <w:instrText xml:space="preserve"> SEQ Observation \* ARABIC </w:instrText>
      </w:r>
      <w:r w:rsidR="005A28D7" w:rsidRPr="00630F9B">
        <w:rPr>
          <w:rFonts w:ascii="Calibri" w:eastAsia="SimSun" w:hAnsi="Calibri" w:cs="Arial"/>
          <w:b/>
          <w:bCs/>
        </w:rPr>
        <w:fldChar w:fldCharType="separate"/>
      </w:r>
      <w:r w:rsidR="009B7196">
        <w:rPr>
          <w:rFonts w:ascii="Calibri" w:eastAsia="SimSun" w:hAnsi="Calibri" w:cs="Arial"/>
          <w:b/>
          <w:bCs/>
          <w:noProof/>
        </w:rPr>
        <w:t>3</w:t>
      </w:r>
      <w:r w:rsidR="005A28D7" w:rsidRPr="00630F9B">
        <w:rPr>
          <w:rFonts w:ascii="Calibri" w:eastAsia="SimSun" w:hAnsi="Calibri" w:cs="Arial"/>
          <w:b/>
          <w:bCs/>
        </w:rPr>
        <w:fldChar w:fldCharType="end"/>
      </w:r>
      <w:r w:rsidRPr="00630F9B">
        <w:rPr>
          <w:rFonts w:ascii="Calibri" w:eastAsia="SimSun" w:hAnsi="Calibri" w:cs="Arial"/>
          <w:b/>
          <w:bCs/>
        </w:rPr>
        <w:t xml:space="preserve">: </w:t>
      </w:r>
      <w:r w:rsidR="002C2847" w:rsidRPr="004227E6">
        <w:rPr>
          <w:b/>
        </w:rPr>
        <w:t xml:space="preserve">To </w:t>
      </w:r>
      <w:r w:rsidR="002C2847" w:rsidRPr="004227E6">
        <w:rPr>
          <w:rFonts w:cs="v4.2.0"/>
          <w:b/>
        </w:rPr>
        <w:t xml:space="preserve">identify </w:t>
      </w:r>
      <w:r w:rsidR="002C2847">
        <w:rPr>
          <w:rFonts w:cs="v4.2.0"/>
          <w:b/>
        </w:rPr>
        <w:t>the first</w:t>
      </w:r>
      <w:r w:rsidR="002C2847" w:rsidRPr="004227E6">
        <w:rPr>
          <w:rFonts w:cs="v4.2.0"/>
          <w:b/>
        </w:rPr>
        <w:t xml:space="preserve"> detectable </w:t>
      </w:r>
      <w:r w:rsidR="002C2847">
        <w:rPr>
          <w:rFonts w:cs="v4.2.0"/>
          <w:b/>
        </w:rPr>
        <w:t>cell on one inter frequency</w:t>
      </w:r>
      <w:r w:rsidR="002C2847" w:rsidRPr="004227E6">
        <w:rPr>
          <w:b/>
        </w:rPr>
        <w:t xml:space="preserve">, </w:t>
      </w:r>
      <w:r w:rsidR="002A02DB">
        <w:rPr>
          <w:b/>
        </w:rPr>
        <w:t xml:space="preserve">if </w:t>
      </w:r>
      <w:r w:rsidR="002A02DB" w:rsidRPr="002C2847">
        <w:rPr>
          <w:rFonts w:cs="v4.2.0" w:hint="eastAsia"/>
          <w:b/>
        </w:rPr>
        <w:t xml:space="preserve">UE </w:t>
      </w:r>
      <w:r w:rsidR="002A02DB" w:rsidRPr="002C2847">
        <w:rPr>
          <w:rFonts w:cs="v4.2.0"/>
          <w:b/>
        </w:rPr>
        <w:t>is indicated to report SSB based RRM measurement result with the associated SSB index</w:t>
      </w:r>
      <w:r w:rsidR="002A02DB">
        <w:rPr>
          <w:rFonts w:cs="v4.2.0"/>
          <w:b/>
        </w:rPr>
        <w:t xml:space="preserve">, PBCH reading is not required but </w:t>
      </w:r>
      <w:r w:rsidR="002C2847">
        <w:rPr>
          <w:b/>
        </w:rPr>
        <w:t xml:space="preserve">DMRS </w:t>
      </w:r>
      <w:r w:rsidR="002C2847" w:rsidRPr="002C2847">
        <w:rPr>
          <w:rFonts w:cs="v4.2.0"/>
          <w:b/>
        </w:rPr>
        <w:t xml:space="preserve">descrambling is </w:t>
      </w:r>
      <w:r w:rsidR="006F2D5D">
        <w:rPr>
          <w:rFonts w:cs="v4.2.0"/>
          <w:b/>
        </w:rPr>
        <w:t xml:space="preserve">still </w:t>
      </w:r>
      <w:r w:rsidR="002C2847" w:rsidRPr="002C2847">
        <w:rPr>
          <w:rFonts w:cs="v4.2.0"/>
          <w:b/>
        </w:rPr>
        <w:t>required</w:t>
      </w:r>
      <w:r w:rsidR="002A02DB">
        <w:rPr>
          <w:rFonts w:cs="v4.2.0"/>
          <w:b/>
        </w:rPr>
        <w:t>, provided Q value is signaled by higher layers.</w:t>
      </w:r>
      <w:bookmarkEnd w:id="7"/>
    </w:p>
    <w:p w:rsidR="00BA426D" w:rsidRPr="00A62D2F" w:rsidRDefault="00A47D87" w:rsidP="00923722">
      <w:pPr>
        <w:pStyle w:val="af1"/>
        <w:jc w:val="both"/>
        <w:rPr>
          <w:rFonts w:ascii="Calibri" w:eastAsia="SimSun" w:hAnsi="Calibri" w:cs="Arial"/>
          <w:bCs/>
          <w:sz w:val="22"/>
          <w:szCs w:val="22"/>
        </w:rPr>
      </w:pPr>
      <w:bookmarkStart w:id="8" w:name="_Ref32221963"/>
      <w:bookmarkStart w:id="9" w:name="_Ref21005628"/>
      <w:r w:rsidRPr="00D43279">
        <w:rPr>
          <w:rFonts w:ascii="Calibri" w:eastAsia="SimSun" w:hAnsi="Calibri" w:cs="Arial"/>
          <w:bCs/>
          <w:sz w:val="22"/>
          <w:szCs w:val="22"/>
        </w:rPr>
        <w:t xml:space="preserve">Proposal </w:t>
      </w:r>
      <w:r w:rsidR="005A28D7" w:rsidRPr="00D43279">
        <w:rPr>
          <w:rFonts w:ascii="Calibri" w:eastAsia="SimSun" w:hAnsi="Calibri" w:cs="Arial"/>
          <w:bCs/>
          <w:sz w:val="22"/>
          <w:szCs w:val="22"/>
        </w:rPr>
        <w:fldChar w:fldCharType="begin"/>
      </w:r>
      <w:r w:rsidRPr="00D43279">
        <w:rPr>
          <w:rFonts w:ascii="Calibri" w:eastAsia="SimSun" w:hAnsi="Calibri" w:cs="Arial"/>
          <w:bCs/>
          <w:sz w:val="22"/>
          <w:szCs w:val="22"/>
        </w:rPr>
        <w:instrText xml:space="preserve"> SEQ Proposal \* ARABIC </w:instrText>
      </w:r>
      <w:r w:rsidR="005A28D7" w:rsidRPr="00D43279">
        <w:rPr>
          <w:rFonts w:ascii="Calibri" w:eastAsia="SimSun" w:hAnsi="Calibri" w:cs="Arial"/>
          <w:bCs/>
          <w:sz w:val="22"/>
          <w:szCs w:val="22"/>
        </w:rPr>
        <w:fldChar w:fldCharType="separate"/>
      </w:r>
      <w:r w:rsidR="009B7196">
        <w:rPr>
          <w:rFonts w:ascii="Calibri" w:eastAsia="SimSun" w:hAnsi="Calibri" w:cs="Arial"/>
          <w:bCs/>
          <w:noProof/>
          <w:sz w:val="22"/>
          <w:szCs w:val="22"/>
        </w:rPr>
        <w:t>2</w:t>
      </w:r>
      <w:r w:rsidR="005A28D7" w:rsidRPr="00D43279">
        <w:rPr>
          <w:rFonts w:ascii="Calibri" w:eastAsia="SimSun" w:hAnsi="Calibri" w:cs="Arial"/>
          <w:bCs/>
          <w:sz w:val="22"/>
          <w:szCs w:val="22"/>
        </w:rPr>
        <w:fldChar w:fldCharType="end"/>
      </w:r>
      <w:r w:rsidRPr="00D43279">
        <w:rPr>
          <w:rFonts w:ascii="Calibri" w:eastAsia="SimSun" w:hAnsi="Calibri" w:cs="Arial"/>
          <w:bCs/>
          <w:sz w:val="22"/>
          <w:szCs w:val="22"/>
        </w:rPr>
        <w:t xml:space="preserve">: </w:t>
      </w:r>
      <w:r w:rsidR="002C2847">
        <w:rPr>
          <w:rFonts w:ascii="Calibri" w:eastAsia="SimSun" w:hAnsi="Calibri" w:cs="Arial"/>
          <w:bCs/>
          <w:sz w:val="22"/>
          <w:szCs w:val="22"/>
        </w:rPr>
        <w:t xml:space="preserve">For interfrequency cell </w:t>
      </w:r>
      <w:r w:rsidR="002C2847">
        <w:rPr>
          <w:rFonts w:ascii="Calibri" w:eastAsia="SimSun" w:hAnsi="Calibri" w:cs="Arial" w:hint="eastAsia"/>
          <w:bCs/>
          <w:sz w:val="22"/>
          <w:szCs w:val="22"/>
        </w:rPr>
        <w:t>identif</w:t>
      </w:r>
      <w:r w:rsidR="002A02DB">
        <w:rPr>
          <w:rFonts w:ascii="Calibri" w:eastAsia="SimSun" w:hAnsi="Calibri" w:cs="Arial"/>
          <w:bCs/>
          <w:sz w:val="22"/>
          <w:szCs w:val="22"/>
        </w:rPr>
        <w:t>ication</w:t>
      </w:r>
      <w:r w:rsidR="00A5350A" w:rsidRPr="00A5350A">
        <w:rPr>
          <w:rFonts w:ascii="Calibri" w:eastAsia="SimSun" w:hAnsi="Calibri" w:cs="Arial"/>
          <w:bCs/>
          <w:sz w:val="22"/>
          <w:szCs w:val="22"/>
        </w:rPr>
        <w:t xml:space="preserve">, </w:t>
      </w:r>
      <w:r w:rsidR="00A62D2F">
        <w:rPr>
          <w:sz w:val="22"/>
          <w:szCs w:val="22"/>
        </w:rPr>
        <w:t xml:space="preserve">if UE is not </w:t>
      </w:r>
      <w:r w:rsidR="00A62D2F" w:rsidRPr="00A5350A">
        <w:rPr>
          <w:sz w:val="22"/>
          <w:szCs w:val="22"/>
        </w:rPr>
        <w:t>indicated to report SSB based RRM measurement result with the associated SSB</w:t>
      </w:r>
      <w:r w:rsidR="00A62D2F">
        <w:rPr>
          <w:sz w:val="22"/>
          <w:szCs w:val="22"/>
        </w:rPr>
        <w:t xml:space="preserve">, SSB index detection is not required; </w:t>
      </w:r>
      <w:r w:rsidR="00A5350A">
        <w:rPr>
          <w:sz w:val="22"/>
          <w:szCs w:val="22"/>
        </w:rPr>
        <w:t xml:space="preserve">if UE is </w:t>
      </w:r>
      <w:r w:rsidR="00A5350A" w:rsidRPr="00A5350A">
        <w:rPr>
          <w:sz w:val="22"/>
          <w:szCs w:val="22"/>
        </w:rPr>
        <w:t>indicated to report SSB based RRM measurement result with the associated SSB</w:t>
      </w:r>
      <w:r w:rsidR="002A02DB">
        <w:rPr>
          <w:sz w:val="22"/>
          <w:szCs w:val="22"/>
        </w:rPr>
        <w:t xml:space="preserve">, </w:t>
      </w:r>
      <w:r w:rsidR="002A02DB">
        <w:rPr>
          <w:rFonts w:ascii="Calibri" w:eastAsia="SimSun" w:hAnsi="Calibri" w:cs="Arial"/>
          <w:bCs/>
          <w:sz w:val="22"/>
          <w:szCs w:val="22"/>
        </w:rPr>
        <w:t xml:space="preserve">SSB index detection of 3 samples is </w:t>
      </w:r>
      <w:r w:rsidR="002A02DB" w:rsidRPr="00A5350A">
        <w:rPr>
          <w:rFonts w:ascii="Calibri" w:eastAsia="SimSun" w:hAnsi="Calibri" w:cs="Arial"/>
          <w:bCs/>
          <w:sz w:val="22"/>
          <w:szCs w:val="22"/>
        </w:rPr>
        <w:t>assumed</w:t>
      </w:r>
      <w:r w:rsidR="002A02DB">
        <w:rPr>
          <w:sz w:val="22"/>
          <w:szCs w:val="22"/>
        </w:rPr>
        <w:t>, provided Q is signalled by higher layers</w:t>
      </w:r>
      <w:r w:rsidR="00A5350A">
        <w:rPr>
          <w:sz w:val="22"/>
          <w:szCs w:val="22"/>
        </w:rPr>
        <w:t>.</w:t>
      </w:r>
      <w:bookmarkEnd w:id="8"/>
      <w:r w:rsidR="00A5350A">
        <w:rPr>
          <w:sz w:val="22"/>
          <w:szCs w:val="22"/>
        </w:rPr>
        <w:t xml:space="preserve"> </w:t>
      </w:r>
      <w:bookmarkEnd w:id="9"/>
    </w:p>
    <w:p w:rsidR="00CE0D5E" w:rsidRPr="000C45FD" w:rsidRDefault="00141644" w:rsidP="009158AC">
      <w:pPr>
        <w:pStyle w:val="1"/>
        <w:numPr>
          <w:ilvl w:val="0"/>
          <w:numId w:val="1"/>
        </w:numPr>
        <w:rPr>
          <w:rFonts w:ascii="Calibri" w:hAnsi="Calibri"/>
          <w:lang w:eastAsia="zh-CN"/>
        </w:rPr>
      </w:pPr>
      <w:r>
        <w:rPr>
          <w:rFonts w:ascii="Calibri" w:hAnsi="Calibri"/>
        </w:rPr>
        <w:t>Summary</w:t>
      </w:r>
    </w:p>
    <w:p w:rsidR="00814A34" w:rsidRDefault="006F7557" w:rsidP="00814A34">
      <w:pPr>
        <w:adjustRightInd w:val="0"/>
        <w:snapToGrid w:val="0"/>
        <w:spacing w:before="180" w:after="120"/>
        <w:jc w:val="both"/>
      </w:pPr>
      <w:r w:rsidRPr="00A75CA4">
        <w:rPr>
          <w:rFonts w:hint="eastAsia"/>
        </w:rPr>
        <w:t xml:space="preserve">In this </w:t>
      </w:r>
      <w:r w:rsidRPr="00A75CA4">
        <w:t>paper,</w:t>
      </w:r>
      <w:r w:rsidR="00FB24ED" w:rsidRPr="00A75CA4">
        <w:rPr>
          <w:rFonts w:hint="eastAsia"/>
        </w:rPr>
        <w:t xml:space="preserve"> </w:t>
      </w:r>
      <w:r w:rsidR="00BB6E93" w:rsidRPr="00A75CA4">
        <w:t xml:space="preserve">the </w:t>
      </w:r>
      <w:r w:rsidR="00814A34">
        <w:t xml:space="preserve">SSB time index detection for measurement </w:t>
      </w:r>
      <w:r w:rsidR="00BB6E93" w:rsidRPr="00A75CA4">
        <w:t xml:space="preserve">requirements </w:t>
      </w:r>
      <w:r w:rsidR="00814A34">
        <w:rPr>
          <w:szCs w:val="20"/>
        </w:rPr>
        <w:t>has</w:t>
      </w:r>
      <w:r w:rsidR="002D717F" w:rsidRPr="00A75CA4">
        <w:rPr>
          <w:szCs w:val="20"/>
        </w:rPr>
        <w:t xml:space="preserve"> been</w:t>
      </w:r>
      <w:r w:rsidR="00660B4F" w:rsidRPr="00A75CA4">
        <w:rPr>
          <w:szCs w:val="20"/>
        </w:rPr>
        <w:t xml:space="preserve"> discussed</w:t>
      </w:r>
      <w:r w:rsidR="000D3205" w:rsidRPr="00A75CA4">
        <w:t>. We have the following observations and proposals</w:t>
      </w:r>
      <w:r w:rsidR="007E7E51" w:rsidRPr="00A75CA4">
        <w:t>:</w:t>
      </w:r>
    </w:p>
    <w:p w:rsidR="00814A34" w:rsidRDefault="00814A34" w:rsidP="00814A34">
      <w:pPr>
        <w:adjustRightInd w:val="0"/>
        <w:snapToGrid w:val="0"/>
        <w:spacing w:before="180" w:after="120"/>
        <w:jc w:val="both"/>
      </w:pPr>
      <w:r>
        <w:fldChar w:fldCharType="begin"/>
      </w:r>
      <w:r>
        <w:instrText xml:space="preserve"> REF _Ref32221943 \h </w:instrText>
      </w:r>
      <w:r>
        <w:fldChar w:fldCharType="separate"/>
      </w:r>
      <w:r w:rsidR="009B7196" w:rsidRPr="00630F9B">
        <w:rPr>
          <w:rFonts w:ascii="Calibri" w:eastAsia="SimSun" w:hAnsi="Calibri" w:cs="Arial"/>
          <w:b/>
          <w:bCs/>
        </w:rPr>
        <w:t xml:space="preserve">Observation </w:t>
      </w:r>
      <w:r w:rsidR="009B7196">
        <w:rPr>
          <w:rFonts w:ascii="Calibri" w:eastAsia="SimSun" w:hAnsi="Calibri" w:cs="Arial"/>
          <w:b/>
          <w:bCs/>
          <w:noProof/>
        </w:rPr>
        <w:t>1</w:t>
      </w:r>
      <w:r w:rsidR="009B7196" w:rsidRPr="00630F9B">
        <w:rPr>
          <w:rFonts w:ascii="Calibri" w:eastAsia="SimSun" w:hAnsi="Calibri" w:cs="Arial"/>
          <w:b/>
          <w:bCs/>
        </w:rPr>
        <w:t xml:space="preserve">: </w:t>
      </w:r>
      <w:r w:rsidR="009B7196" w:rsidRPr="004227E6">
        <w:rPr>
          <w:b/>
        </w:rPr>
        <w:t xml:space="preserve">To </w:t>
      </w:r>
      <w:r w:rsidR="009B7196" w:rsidRPr="004227E6">
        <w:rPr>
          <w:rFonts w:cs="v4.2.0"/>
          <w:b/>
        </w:rPr>
        <w:t>identify a new detectable intra frequency cell</w:t>
      </w:r>
      <w:r w:rsidR="009B7196" w:rsidRPr="004227E6">
        <w:rPr>
          <w:b/>
        </w:rPr>
        <w:t xml:space="preserve">, </w:t>
      </w:r>
      <w:r w:rsidR="009B7196">
        <w:rPr>
          <w:b/>
        </w:rPr>
        <w:t>SSB</w:t>
      </w:r>
      <w:r w:rsidR="009B7196" w:rsidRPr="004227E6">
        <w:rPr>
          <w:b/>
        </w:rPr>
        <w:t xml:space="preserve"> index detection is not required if </w:t>
      </w:r>
      <w:r w:rsidR="009B7196" w:rsidRPr="004227E6">
        <w:rPr>
          <w:b/>
          <w:i/>
          <w:iCs/>
        </w:rPr>
        <w:t>deriveSSB-IndexFromCell</w:t>
      </w:r>
      <w:r w:rsidR="009B7196" w:rsidRPr="004227E6">
        <w:rPr>
          <w:rFonts w:cs="v4.2.0"/>
          <w:b/>
        </w:rPr>
        <w:t xml:space="preserve"> is enabled</w:t>
      </w:r>
      <w:r w:rsidR="009B7196" w:rsidRPr="004227E6">
        <w:rPr>
          <w:b/>
        </w:rPr>
        <w:t xml:space="preserve">. </w:t>
      </w:r>
      <w:r w:rsidR="009B7196">
        <w:rPr>
          <w:b/>
        </w:rPr>
        <w:t>And, i</w:t>
      </w:r>
      <w:r w:rsidR="009B7196" w:rsidRPr="00196D92">
        <w:rPr>
          <w:b/>
        </w:rPr>
        <w:t xml:space="preserve">t is assumed that </w:t>
      </w:r>
      <w:r w:rsidR="009B7196" w:rsidRPr="00196D92">
        <w:rPr>
          <w:b/>
          <w:i/>
          <w:iCs/>
        </w:rPr>
        <w:t>deriveSSB-IndexFromCell</w:t>
      </w:r>
      <w:r w:rsidR="009B7196" w:rsidRPr="00196D92">
        <w:rPr>
          <w:b/>
          <w:iCs/>
        </w:rPr>
        <w:t xml:space="preserve"> </w:t>
      </w:r>
      <w:r w:rsidR="009B7196" w:rsidRPr="00196D92">
        <w:rPr>
          <w:b/>
        </w:rPr>
        <w:t>is always enabled for FR1 TDD and FR2.</w:t>
      </w:r>
      <w:r>
        <w:fldChar w:fldCharType="end"/>
      </w:r>
    </w:p>
    <w:p w:rsidR="00814A34" w:rsidRDefault="00814A34" w:rsidP="00814A34">
      <w:pPr>
        <w:adjustRightInd w:val="0"/>
        <w:snapToGrid w:val="0"/>
        <w:spacing w:before="180" w:after="120"/>
        <w:jc w:val="both"/>
      </w:pPr>
      <w:r>
        <w:fldChar w:fldCharType="begin"/>
      </w:r>
      <w:r>
        <w:instrText xml:space="preserve"> REF _Ref32221946 \h </w:instrText>
      </w:r>
      <w:r>
        <w:fldChar w:fldCharType="separate"/>
      </w:r>
      <w:r w:rsidR="009B7196" w:rsidRPr="00630F9B">
        <w:rPr>
          <w:rFonts w:ascii="Calibri" w:eastAsia="SimSun" w:hAnsi="Calibri" w:cs="Arial"/>
          <w:b/>
          <w:bCs/>
        </w:rPr>
        <w:t xml:space="preserve">Observation </w:t>
      </w:r>
      <w:r w:rsidR="009B7196">
        <w:rPr>
          <w:rFonts w:ascii="Calibri" w:eastAsia="SimSun" w:hAnsi="Calibri" w:cs="Arial"/>
          <w:b/>
          <w:bCs/>
          <w:noProof/>
        </w:rPr>
        <w:t>2</w:t>
      </w:r>
      <w:r w:rsidR="009B7196" w:rsidRPr="00630F9B">
        <w:rPr>
          <w:rFonts w:ascii="Calibri" w:eastAsia="SimSun" w:hAnsi="Calibri" w:cs="Arial"/>
          <w:b/>
          <w:bCs/>
        </w:rPr>
        <w:t xml:space="preserve">: </w:t>
      </w:r>
      <w:r w:rsidR="009B7196">
        <w:rPr>
          <w:rFonts w:ascii="Calibri" w:eastAsia="SimSun" w:hAnsi="Calibri" w:cs="Arial"/>
          <w:b/>
          <w:bCs/>
        </w:rPr>
        <w:t xml:space="preserve">Currently, </w:t>
      </w:r>
      <w:r w:rsidR="009B7196">
        <w:rPr>
          <w:b/>
        </w:rPr>
        <w:t>the current operating band for NR-U is FR1 TDD</w:t>
      </w:r>
      <w:r w:rsidR="009B7196" w:rsidRPr="00AF1F8A">
        <w:rPr>
          <w:b/>
        </w:rPr>
        <w:t>.</w:t>
      </w:r>
      <w:r>
        <w:fldChar w:fldCharType="end"/>
      </w:r>
    </w:p>
    <w:p w:rsidR="00814A34" w:rsidRPr="00814A34" w:rsidRDefault="00814A34" w:rsidP="00814A34">
      <w:pPr>
        <w:adjustRightInd w:val="0"/>
        <w:snapToGrid w:val="0"/>
        <w:spacing w:before="180" w:after="120"/>
        <w:jc w:val="both"/>
        <w:rPr>
          <w:b/>
        </w:rPr>
      </w:pPr>
      <w:r w:rsidRPr="00814A34">
        <w:rPr>
          <w:b/>
        </w:rPr>
        <w:fldChar w:fldCharType="begin"/>
      </w:r>
      <w:r w:rsidRPr="00814A34">
        <w:rPr>
          <w:b/>
        </w:rPr>
        <w:instrText xml:space="preserve"> REF _Ref32221957 \h </w:instrText>
      </w:r>
      <w:r>
        <w:rPr>
          <w:b/>
        </w:rPr>
        <w:instrText xml:space="preserve"> \* MERGEFORMAT </w:instrText>
      </w:r>
      <w:r w:rsidRPr="00814A34">
        <w:rPr>
          <w:b/>
        </w:rPr>
      </w:r>
      <w:r w:rsidRPr="00814A34">
        <w:rPr>
          <w:b/>
        </w:rPr>
        <w:fldChar w:fldCharType="separate"/>
      </w:r>
      <w:r w:rsidR="009B7196" w:rsidRPr="009B7196">
        <w:rPr>
          <w:rFonts w:ascii="Calibri" w:eastAsia="SimSun" w:hAnsi="Calibri" w:cs="Arial"/>
          <w:b/>
          <w:bCs/>
        </w:rPr>
        <w:t xml:space="preserve">Proposal </w:t>
      </w:r>
      <w:r w:rsidR="009B7196" w:rsidRPr="009B7196">
        <w:rPr>
          <w:rFonts w:ascii="Calibri" w:eastAsia="SimSun" w:hAnsi="Calibri" w:cs="Arial"/>
          <w:b/>
          <w:bCs/>
          <w:noProof/>
        </w:rPr>
        <w:t>1</w:t>
      </w:r>
      <w:r w:rsidR="009B7196" w:rsidRPr="009B7196">
        <w:rPr>
          <w:rFonts w:ascii="Calibri" w:eastAsia="SimSun" w:hAnsi="Calibri" w:cs="Arial"/>
          <w:b/>
          <w:bCs/>
        </w:rPr>
        <w:t xml:space="preserve">: For NR-U operating band, </w:t>
      </w:r>
      <w:r w:rsidR="009B7196" w:rsidRPr="009B7196">
        <w:rPr>
          <w:b/>
          <w:i/>
          <w:iCs/>
        </w:rPr>
        <w:t>deriveSSB-IndexFromCell</w:t>
      </w:r>
      <w:r w:rsidR="009B7196" w:rsidRPr="009B7196">
        <w:rPr>
          <w:b/>
          <w:iCs/>
        </w:rPr>
        <w:t xml:space="preserve"> </w:t>
      </w:r>
      <w:r w:rsidR="009B7196" w:rsidRPr="009B7196">
        <w:rPr>
          <w:b/>
        </w:rPr>
        <w:t>should always be enabled</w:t>
      </w:r>
      <w:r w:rsidR="009B7196" w:rsidRPr="009B7196">
        <w:rPr>
          <w:rFonts w:ascii="Calibri" w:eastAsia="SimSun" w:hAnsi="Calibri" w:cs="Arial"/>
          <w:b/>
          <w:bCs/>
        </w:rPr>
        <w:t xml:space="preserve">, and SSB index detection is not required to </w:t>
      </w:r>
      <w:r w:rsidR="009B7196" w:rsidRPr="009B7196">
        <w:rPr>
          <w:rFonts w:ascii="Calibri" w:eastAsia="SimSun" w:hAnsi="Calibri" w:cs="Arial" w:hint="eastAsia"/>
          <w:b/>
          <w:bCs/>
        </w:rPr>
        <w:t xml:space="preserve">identify a </w:t>
      </w:r>
      <w:r w:rsidR="009B7196" w:rsidRPr="009B7196">
        <w:rPr>
          <w:rFonts w:ascii="Calibri" w:eastAsia="SimSun" w:hAnsi="Calibri" w:cs="Arial"/>
          <w:b/>
          <w:bCs/>
        </w:rPr>
        <w:t>new detectable intra frequency cell.</w:t>
      </w:r>
      <w:r w:rsidRPr="00814A34">
        <w:rPr>
          <w:b/>
        </w:rPr>
        <w:fldChar w:fldCharType="end"/>
      </w:r>
    </w:p>
    <w:p w:rsidR="00814A34" w:rsidRPr="00814A34" w:rsidRDefault="00814A34" w:rsidP="00814A34">
      <w:pPr>
        <w:adjustRightInd w:val="0"/>
        <w:snapToGrid w:val="0"/>
        <w:spacing w:before="180" w:after="120"/>
        <w:jc w:val="both"/>
        <w:rPr>
          <w:b/>
        </w:rPr>
      </w:pPr>
      <w:r w:rsidRPr="00814A34">
        <w:rPr>
          <w:b/>
        </w:rPr>
        <w:fldChar w:fldCharType="begin"/>
      </w:r>
      <w:r w:rsidRPr="00814A34">
        <w:rPr>
          <w:b/>
        </w:rPr>
        <w:instrText xml:space="preserve"> REF _Ref32221948 \h </w:instrText>
      </w:r>
      <w:r>
        <w:rPr>
          <w:b/>
        </w:rPr>
        <w:instrText xml:space="preserve"> \* MERGEFORMAT </w:instrText>
      </w:r>
      <w:r w:rsidRPr="00814A34">
        <w:rPr>
          <w:b/>
        </w:rPr>
      </w:r>
      <w:r w:rsidRPr="00814A34">
        <w:rPr>
          <w:b/>
        </w:rPr>
        <w:fldChar w:fldCharType="separate"/>
      </w:r>
      <w:r w:rsidR="009B7196" w:rsidRPr="00630F9B">
        <w:rPr>
          <w:rFonts w:ascii="Calibri" w:eastAsia="SimSun" w:hAnsi="Calibri" w:cs="Arial"/>
          <w:b/>
          <w:bCs/>
        </w:rPr>
        <w:t xml:space="preserve">Observation </w:t>
      </w:r>
      <w:r w:rsidR="009B7196">
        <w:rPr>
          <w:rFonts w:ascii="Calibri" w:eastAsia="SimSun" w:hAnsi="Calibri" w:cs="Arial"/>
          <w:b/>
          <w:bCs/>
          <w:noProof/>
        </w:rPr>
        <w:t>3</w:t>
      </w:r>
      <w:r w:rsidR="009B7196" w:rsidRPr="00630F9B">
        <w:rPr>
          <w:rFonts w:ascii="Calibri" w:eastAsia="SimSun" w:hAnsi="Calibri" w:cs="Arial"/>
          <w:b/>
          <w:bCs/>
        </w:rPr>
        <w:t xml:space="preserve">: </w:t>
      </w:r>
      <w:r w:rsidR="009B7196" w:rsidRPr="004227E6">
        <w:rPr>
          <w:b/>
        </w:rPr>
        <w:t xml:space="preserve">To </w:t>
      </w:r>
      <w:r w:rsidR="009B7196" w:rsidRPr="004227E6">
        <w:rPr>
          <w:rFonts w:cs="v4.2.0"/>
          <w:b/>
        </w:rPr>
        <w:t xml:space="preserve">identify </w:t>
      </w:r>
      <w:r w:rsidR="009B7196">
        <w:rPr>
          <w:rFonts w:cs="v4.2.0"/>
          <w:b/>
        </w:rPr>
        <w:t>the first</w:t>
      </w:r>
      <w:r w:rsidR="009B7196" w:rsidRPr="004227E6">
        <w:rPr>
          <w:rFonts w:cs="v4.2.0"/>
          <w:b/>
        </w:rPr>
        <w:t xml:space="preserve"> detectable </w:t>
      </w:r>
      <w:r w:rsidR="009B7196">
        <w:rPr>
          <w:rFonts w:cs="v4.2.0"/>
          <w:b/>
        </w:rPr>
        <w:t>cell on one inter frequency</w:t>
      </w:r>
      <w:r w:rsidR="009B7196" w:rsidRPr="004227E6">
        <w:rPr>
          <w:b/>
        </w:rPr>
        <w:t xml:space="preserve">, </w:t>
      </w:r>
      <w:r w:rsidR="009B7196">
        <w:rPr>
          <w:b/>
        </w:rPr>
        <w:t xml:space="preserve">if </w:t>
      </w:r>
      <w:r w:rsidR="009B7196" w:rsidRPr="002C2847">
        <w:rPr>
          <w:rFonts w:cs="v4.2.0" w:hint="eastAsia"/>
          <w:b/>
        </w:rPr>
        <w:t xml:space="preserve">UE </w:t>
      </w:r>
      <w:r w:rsidR="009B7196" w:rsidRPr="002C2847">
        <w:rPr>
          <w:rFonts w:cs="v4.2.0"/>
          <w:b/>
        </w:rPr>
        <w:t>is indicated to report SSB based RRM measurement result with the associated SSB index</w:t>
      </w:r>
      <w:r w:rsidR="009B7196">
        <w:rPr>
          <w:rFonts w:cs="v4.2.0"/>
          <w:b/>
        </w:rPr>
        <w:t xml:space="preserve">, PBCH reading is not required but </w:t>
      </w:r>
      <w:r w:rsidR="009B7196">
        <w:rPr>
          <w:b/>
        </w:rPr>
        <w:t xml:space="preserve">DMRS </w:t>
      </w:r>
      <w:r w:rsidR="009B7196" w:rsidRPr="002C2847">
        <w:rPr>
          <w:rFonts w:cs="v4.2.0"/>
          <w:b/>
        </w:rPr>
        <w:t xml:space="preserve">descrambling is </w:t>
      </w:r>
      <w:r w:rsidR="009B7196">
        <w:rPr>
          <w:rFonts w:cs="v4.2.0"/>
          <w:b/>
        </w:rPr>
        <w:t xml:space="preserve">still </w:t>
      </w:r>
      <w:r w:rsidR="009B7196" w:rsidRPr="002C2847">
        <w:rPr>
          <w:rFonts w:cs="v4.2.0"/>
          <w:b/>
        </w:rPr>
        <w:t>required</w:t>
      </w:r>
      <w:r w:rsidR="009B7196">
        <w:rPr>
          <w:rFonts w:cs="v4.2.0"/>
          <w:b/>
        </w:rPr>
        <w:t>, provided Q value is signaled by higher layers.</w:t>
      </w:r>
      <w:r w:rsidRPr="00814A34">
        <w:rPr>
          <w:b/>
        </w:rPr>
        <w:fldChar w:fldCharType="end"/>
      </w:r>
    </w:p>
    <w:p w:rsidR="00814A34" w:rsidRPr="00814A34" w:rsidRDefault="00814A34" w:rsidP="00814A34">
      <w:pPr>
        <w:adjustRightInd w:val="0"/>
        <w:snapToGrid w:val="0"/>
        <w:spacing w:before="180" w:after="120"/>
        <w:jc w:val="both"/>
        <w:rPr>
          <w:b/>
        </w:rPr>
      </w:pPr>
      <w:r w:rsidRPr="00814A34">
        <w:rPr>
          <w:b/>
        </w:rPr>
        <w:fldChar w:fldCharType="begin"/>
      </w:r>
      <w:r w:rsidRPr="00814A34">
        <w:rPr>
          <w:b/>
        </w:rPr>
        <w:instrText xml:space="preserve"> REF _Ref32221963 \h </w:instrText>
      </w:r>
      <w:r>
        <w:rPr>
          <w:b/>
        </w:rPr>
        <w:instrText xml:space="preserve"> \* MERGEFORMAT </w:instrText>
      </w:r>
      <w:r w:rsidRPr="00814A34">
        <w:rPr>
          <w:b/>
        </w:rPr>
      </w:r>
      <w:r w:rsidRPr="00814A34">
        <w:rPr>
          <w:b/>
        </w:rPr>
        <w:fldChar w:fldCharType="separate"/>
      </w:r>
      <w:r w:rsidR="009B7196" w:rsidRPr="009B7196">
        <w:rPr>
          <w:rFonts w:ascii="Calibri" w:eastAsia="SimSun" w:hAnsi="Calibri" w:cs="Arial"/>
          <w:b/>
          <w:bCs/>
        </w:rPr>
        <w:t xml:space="preserve">Proposal </w:t>
      </w:r>
      <w:r w:rsidR="009B7196" w:rsidRPr="009B7196">
        <w:rPr>
          <w:rFonts w:ascii="Calibri" w:eastAsia="SimSun" w:hAnsi="Calibri" w:cs="Arial"/>
          <w:b/>
          <w:bCs/>
          <w:noProof/>
        </w:rPr>
        <w:t>2</w:t>
      </w:r>
      <w:r w:rsidR="009B7196" w:rsidRPr="009B7196">
        <w:rPr>
          <w:rFonts w:ascii="Calibri" w:eastAsia="SimSun" w:hAnsi="Calibri" w:cs="Arial"/>
          <w:b/>
          <w:bCs/>
        </w:rPr>
        <w:t xml:space="preserve">: For interfrequency cell </w:t>
      </w:r>
      <w:r w:rsidR="009B7196" w:rsidRPr="009B7196">
        <w:rPr>
          <w:rFonts w:ascii="Calibri" w:eastAsia="SimSun" w:hAnsi="Calibri" w:cs="Arial" w:hint="eastAsia"/>
          <w:b/>
          <w:bCs/>
        </w:rPr>
        <w:t>identif</w:t>
      </w:r>
      <w:r w:rsidR="009B7196" w:rsidRPr="009B7196">
        <w:rPr>
          <w:rFonts w:ascii="Calibri" w:eastAsia="SimSun" w:hAnsi="Calibri" w:cs="Arial"/>
          <w:b/>
          <w:bCs/>
        </w:rPr>
        <w:t xml:space="preserve">ication, </w:t>
      </w:r>
      <w:r w:rsidR="009B7196" w:rsidRPr="009B7196">
        <w:rPr>
          <w:b/>
        </w:rPr>
        <w:t xml:space="preserve">if UE is not indicated to report SSB based RRM measurement result with the associated SSB, SSB index detection is not required; if UE is indicated to report SSB based RRM measurement result with the associated SSB, </w:t>
      </w:r>
      <w:r w:rsidR="009B7196" w:rsidRPr="009B7196">
        <w:rPr>
          <w:rFonts w:ascii="Calibri" w:eastAsia="SimSun" w:hAnsi="Calibri" w:cs="Arial"/>
          <w:b/>
          <w:bCs/>
        </w:rPr>
        <w:t>SSB index detection of 3 samples is assumed</w:t>
      </w:r>
      <w:r w:rsidR="009B7196" w:rsidRPr="009B7196">
        <w:rPr>
          <w:b/>
        </w:rPr>
        <w:t>, provided Q is signalled by higher layers.</w:t>
      </w:r>
      <w:r w:rsidRPr="00814A34">
        <w:rPr>
          <w:b/>
        </w:rPr>
        <w:fldChar w:fldCharType="end"/>
      </w:r>
    </w:p>
    <w:p w:rsidR="00D63646" w:rsidRPr="00192E1A" w:rsidRDefault="000F20AC" w:rsidP="00021661">
      <w:pPr>
        <w:pStyle w:val="1"/>
        <w:ind w:left="0" w:firstLine="0"/>
        <w:rPr>
          <w:rFonts w:ascii="Calibri" w:hAnsi="Calibri"/>
        </w:rPr>
      </w:pPr>
      <w:r w:rsidRPr="00192E1A">
        <w:rPr>
          <w:rFonts w:ascii="Calibri" w:hAnsi="Calibri"/>
        </w:rPr>
        <w:lastRenderedPageBreak/>
        <w:t>References</w:t>
      </w:r>
    </w:p>
    <w:p w:rsidR="00C80529" w:rsidRDefault="00A65E18" w:rsidP="00D63646">
      <w:pPr>
        <w:rPr>
          <w:lang w:eastAsia="en-US"/>
        </w:rPr>
      </w:pPr>
      <w:r w:rsidRPr="00F54159">
        <w:rPr>
          <w:lang w:val="en-GB" w:eastAsia="en-US"/>
        </w:rPr>
        <w:t xml:space="preserve">[1] </w:t>
      </w:r>
      <w:r w:rsidR="00BA426D" w:rsidRPr="005470E7">
        <w:rPr>
          <w:lang w:val="en-GB" w:eastAsia="en-US"/>
        </w:rPr>
        <w:t xml:space="preserve">R4-1915777, </w:t>
      </w:r>
      <w:r w:rsidR="00BA426D" w:rsidRPr="005470E7">
        <w:rPr>
          <w:lang w:eastAsia="en-US"/>
        </w:rPr>
        <w:t>WF on NR-U RRM Requirements, Ericsson.</w:t>
      </w:r>
    </w:p>
    <w:p w:rsidR="00400543" w:rsidRPr="003B0EC5" w:rsidRDefault="00400543" w:rsidP="00400543">
      <w:pPr>
        <w:rPr>
          <w:rFonts w:eastAsia="新細明體" w:cs="Calibri"/>
          <w:color w:val="0D0D0D"/>
        </w:rPr>
      </w:pPr>
      <w:r>
        <w:rPr>
          <w:lang w:val="en-GB" w:eastAsia="en-US"/>
        </w:rPr>
        <w:t>[2</w:t>
      </w:r>
      <w:r w:rsidRPr="00ED7C55">
        <w:rPr>
          <w:lang w:val="en-GB" w:eastAsia="en-US"/>
        </w:rPr>
        <w:t xml:space="preserve">] </w:t>
      </w:r>
      <w:r w:rsidRPr="00ED7C55">
        <w:rPr>
          <w:rFonts w:eastAsia="新細明體" w:cs="Calibri"/>
          <w:color w:val="0D0D0D"/>
        </w:rPr>
        <w:t xml:space="preserve">TS38.133, NR; Requirements for support of </w:t>
      </w:r>
      <w:r>
        <w:rPr>
          <w:rFonts w:eastAsia="新細明體" w:cs="Calibri"/>
          <w:color w:val="0D0D0D"/>
        </w:rPr>
        <w:t>radio resource management, V15.8</w:t>
      </w:r>
      <w:r w:rsidRPr="00ED7C55">
        <w:rPr>
          <w:rFonts w:eastAsia="新細明體" w:cs="Calibri"/>
          <w:color w:val="0D0D0D"/>
        </w:rPr>
        <w:t>.0.</w:t>
      </w:r>
    </w:p>
    <w:p w:rsidR="00400543" w:rsidRPr="00923722" w:rsidRDefault="00400543" w:rsidP="00D63646">
      <w:pPr>
        <w:rPr>
          <w:rFonts w:eastAsia="新細明體" w:cs="Calibri"/>
          <w:color w:val="0D0D0D"/>
        </w:rPr>
      </w:pPr>
    </w:p>
    <w:sectPr w:rsidR="00400543" w:rsidRPr="009237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EA5" w:rsidRDefault="00AE4EA5">
      <w:r>
        <w:separator/>
      </w:r>
    </w:p>
  </w:endnote>
  <w:endnote w:type="continuationSeparator" w:id="0">
    <w:p w:rsidR="00AE4EA5" w:rsidRDefault="00AE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EA5" w:rsidRDefault="00AE4EA5">
      <w:r>
        <w:separator/>
      </w:r>
    </w:p>
  </w:footnote>
  <w:footnote w:type="continuationSeparator" w:id="0">
    <w:p w:rsidR="00AE4EA5" w:rsidRDefault="00AE4E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76D84"/>
    <w:multiLevelType w:val="multilevel"/>
    <w:tmpl w:val="3EF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5E5EB1"/>
    <w:multiLevelType w:val="hybridMultilevel"/>
    <w:tmpl w:val="D7267566"/>
    <w:lvl w:ilvl="0" w:tplc="4D7610D0">
      <w:start w:val="1"/>
      <w:numFmt w:val="bullet"/>
      <w:lvlText w:val="•"/>
      <w:lvlJc w:val="left"/>
      <w:pPr>
        <w:tabs>
          <w:tab w:val="num" w:pos="720"/>
        </w:tabs>
        <w:ind w:left="720" w:hanging="360"/>
      </w:pPr>
      <w:rPr>
        <w:rFonts w:ascii="Arial" w:hAnsi="Arial" w:hint="default"/>
      </w:rPr>
    </w:lvl>
    <w:lvl w:ilvl="1" w:tplc="57ACB2D6">
      <w:start w:val="28"/>
      <w:numFmt w:val="bullet"/>
      <w:lvlText w:val="•"/>
      <w:lvlJc w:val="left"/>
      <w:pPr>
        <w:tabs>
          <w:tab w:val="num" w:pos="1440"/>
        </w:tabs>
        <w:ind w:left="1440" w:hanging="360"/>
      </w:pPr>
      <w:rPr>
        <w:rFonts w:ascii="Arial" w:hAnsi="Arial" w:hint="default"/>
      </w:rPr>
    </w:lvl>
    <w:lvl w:ilvl="2" w:tplc="676AC29E" w:tentative="1">
      <w:start w:val="1"/>
      <w:numFmt w:val="bullet"/>
      <w:lvlText w:val="•"/>
      <w:lvlJc w:val="left"/>
      <w:pPr>
        <w:tabs>
          <w:tab w:val="num" w:pos="2160"/>
        </w:tabs>
        <w:ind w:left="2160" w:hanging="360"/>
      </w:pPr>
      <w:rPr>
        <w:rFonts w:ascii="Arial" w:hAnsi="Arial" w:hint="default"/>
      </w:rPr>
    </w:lvl>
    <w:lvl w:ilvl="3" w:tplc="A5C2700E" w:tentative="1">
      <w:start w:val="1"/>
      <w:numFmt w:val="bullet"/>
      <w:lvlText w:val="•"/>
      <w:lvlJc w:val="left"/>
      <w:pPr>
        <w:tabs>
          <w:tab w:val="num" w:pos="2880"/>
        </w:tabs>
        <w:ind w:left="2880" w:hanging="360"/>
      </w:pPr>
      <w:rPr>
        <w:rFonts w:ascii="Arial" w:hAnsi="Arial" w:hint="default"/>
      </w:rPr>
    </w:lvl>
    <w:lvl w:ilvl="4" w:tplc="3190D020" w:tentative="1">
      <w:start w:val="1"/>
      <w:numFmt w:val="bullet"/>
      <w:lvlText w:val="•"/>
      <w:lvlJc w:val="left"/>
      <w:pPr>
        <w:tabs>
          <w:tab w:val="num" w:pos="3600"/>
        </w:tabs>
        <w:ind w:left="3600" w:hanging="360"/>
      </w:pPr>
      <w:rPr>
        <w:rFonts w:ascii="Arial" w:hAnsi="Arial" w:hint="default"/>
      </w:rPr>
    </w:lvl>
    <w:lvl w:ilvl="5" w:tplc="D4684204" w:tentative="1">
      <w:start w:val="1"/>
      <w:numFmt w:val="bullet"/>
      <w:lvlText w:val="•"/>
      <w:lvlJc w:val="left"/>
      <w:pPr>
        <w:tabs>
          <w:tab w:val="num" w:pos="4320"/>
        </w:tabs>
        <w:ind w:left="4320" w:hanging="360"/>
      </w:pPr>
      <w:rPr>
        <w:rFonts w:ascii="Arial" w:hAnsi="Arial" w:hint="default"/>
      </w:rPr>
    </w:lvl>
    <w:lvl w:ilvl="6" w:tplc="23B8B158" w:tentative="1">
      <w:start w:val="1"/>
      <w:numFmt w:val="bullet"/>
      <w:lvlText w:val="•"/>
      <w:lvlJc w:val="left"/>
      <w:pPr>
        <w:tabs>
          <w:tab w:val="num" w:pos="5040"/>
        </w:tabs>
        <w:ind w:left="5040" w:hanging="360"/>
      </w:pPr>
      <w:rPr>
        <w:rFonts w:ascii="Arial" w:hAnsi="Arial" w:hint="default"/>
      </w:rPr>
    </w:lvl>
    <w:lvl w:ilvl="7" w:tplc="02D4C664" w:tentative="1">
      <w:start w:val="1"/>
      <w:numFmt w:val="bullet"/>
      <w:lvlText w:val="•"/>
      <w:lvlJc w:val="left"/>
      <w:pPr>
        <w:tabs>
          <w:tab w:val="num" w:pos="5760"/>
        </w:tabs>
        <w:ind w:left="5760" w:hanging="360"/>
      </w:pPr>
      <w:rPr>
        <w:rFonts w:ascii="Arial" w:hAnsi="Arial" w:hint="default"/>
      </w:rPr>
    </w:lvl>
    <w:lvl w:ilvl="8" w:tplc="966A02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1F1BFF"/>
    <w:multiLevelType w:val="hybridMultilevel"/>
    <w:tmpl w:val="5AB649EC"/>
    <w:lvl w:ilvl="0" w:tplc="32AC7564">
      <w:start w:val="1"/>
      <w:numFmt w:val="bullet"/>
      <w:lvlText w:val="•"/>
      <w:lvlJc w:val="left"/>
      <w:pPr>
        <w:tabs>
          <w:tab w:val="num" w:pos="720"/>
        </w:tabs>
        <w:ind w:left="720" w:hanging="360"/>
      </w:pPr>
      <w:rPr>
        <w:rFonts w:ascii="Arial" w:hAnsi="Arial" w:hint="default"/>
      </w:rPr>
    </w:lvl>
    <w:lvl w:ilvl="1" w:tplc="D7C0A164" w:tentative="1">
      <w:start w:val="1"/>
      <w:numFmt w:val="bullet"/>
      <w:lvlText w:val="•"/>
      <w:lvlJc w:val="left"/>
      <w:pPr>
        <w:tabs>
          <w:tab w:val="num" w:pos="1440"/>
        </w:tabs>
        <w:ind w:left="1440" w:hanging="360"/>
      </w:pPr>
      <w:rPr>
        <w:rFonts w:ascii="Arial" w:hAnsi="Arial" w:hint="default"/>
      </w:rPr>
    </w:lvl>
    <w:lvl w:ilvl="2" w:tplc="29B8E0B8" w:tentative="1">
      <w:start w:val="1"/>
      <w:numFmt w:val="bullet"/>
      <w:lvlText w:val="•"/>
      <w:lvlJc w:val="left"/>
      <w:pPr>
        <w:tabs>
          <w:tab w:val="num" w:pos="2160"/>
        </w:tabs>
        <w:ind w:left="2160" w:hanging="360"/>
      </w:pPr>
      <w:rPr>
        <w:rFonts w:ascii="Arial" w:hAnsi="Arial" w:hint="default"/>
      </w:rPr>
    </w:lvl>
    <w:lvl w:ilvl="3" w:tplc="99668482" w:tentative="1">
      <w:start w:val="1"/>
      <w:numFmt w:val="bullet"/>
      <w:lvlText w:val="•"/>
      <w:lvlJc w:val="left"/>
      <w:pPr>
        <w:tabs>
          <w:tab w:val="num" w:pos="2880"/>
        </w:tabs>
        <w:ind w:left="2880" w:hanging="360"/>
      </w:pPr>
      <w:rPr>
        <w:rFonts w:ascii="Arial" w:hAnsi="Arial" w:hint="default"/>
      </w:rPr>
    </w:lvl>
    <w:lvl w:ilvl="4" w:tplc="E73A5F76" w:tentative="1">
      <w:start w:val="1"/>
      <w:numFmt w:val="bullet"/>
      <w:lvlText w:val="•"/>
      <w:lvlJc w:val="left"/>
      <w:pPr>
        <w:tabs>
          <w:tab w:val="num" w:pos="3600"/>
        </w:tabs>
        <w:ind w:left="3600" w:hanging="360"/>
      </w:pPr>
      <w:rPr>
        <w:rFonts w:ascii="Arial" w:hAnsi="Arial" w:hint="default"/>
      </w:rPr>
    </w:lvl>
    <w:lvl w:ilvl="5" w:tplc="91503150" w:tentative="1">
      <w:start w:val="1"/>
      <w:numFmt w:val="bullet"/>
      <w:lvlText w:val="•"/>
      <w:lvlJc w:val="left"/>
      <w:pPr>
        <w:tabs>
          <w:tab w:val="num" w:pos="4320"/>
        </w:tabs>
        <w:ind w:left="4320" w:hanging="360"/>
      </w:pPr>
      <w:rPr>
        <w:rFonts w:ascii="Arial" w:hAnsi="Arial" w:hint="default"/>
      </w:rPr>
    </w:lvl>
    <w:lvl w:ilvl="6" w:tplc="18BAE286" w:tentative="1">
      <w:start w:val="1"/>
      <w:numFmt w:val="bullet"/>
      <w:lvlText w:val="•"/>
      <w:lvlJc w:val="left"/>
      <w:pPr>
        <w:tabs>
          <w:tab w:val="num" w:pos="5040"/>
        </w:tabs>
        <w:ind w:left="5040" w:hanging="360"/>
      </w:pPr>
      <w:rPr>
        <w:rFonts w:ascii="Arial" w:hAnsi="Arial" w:hint="default"/>
      </w:rPr>
    </w:lvl>
    <w:lvl w:ilvl="7" w:tplc="F3CED5D4" w:tentative="1">
      <w:start w:val="1"/>
      <w:numFmt w:val="bullet"/>
      <w:lvlText w:val="•"/>
      <w:lvlJc w:val="left"/>
      <w:pPr>
        <w:tabs>
          <w:tab w:val="num" w:pos="5760"/>
        </w:tabs>
        <w:ind w:left="5760" w:hanging="360"/>
      </w:pPr>
      <w:rPr>
        <w:rFonts w:ascii="Arial" w:hAnsi="Arial" w:hint="default"/>
      </w:rPr>
    </w:lvl>
    <w:lvl w:ilvl="8" w:tplc="AE92AF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C0481F"/>
    <w:multiLevelType w:val="hybridMultilevel"/>
    <w:tmpl w:val="03F07C3A"/>
    <w:lvl w:ilvl="0" w:tplc="1FA8E826">
      <w:start w:val="1"/>
      <w:numFmt w:val="bullet"/>
      <w:lvlText w:val="•"/>
      <w:lvlJc w:val="left"/>
      <w:pPr>
        <w:tabs>
          <w:tab w:val="num" w:pos="720"/>
        </w:tabs>
        <w:ind w:left="720" w:hanging="360"/>
      </w:pPr>
      <w:rPr>
        <w:rFonts w:ascii="Arial" w:hAnsi="Arial" w:hint="default"/>
      </w:rPr>
    </w:lvl>
    <w:lvl w:ilvl="1" w:tplc="C1AED37C">
      <w:start w:val="28"/>
      <w:numFmt w:val="bullet"/>
      <w:lvlText w:val="•"/>
      <w:lvlJc w:val="left"/>
      <w:pPr>
        <w:tabs>
          <w:tab w:val="num" w:pos="1440"/>
        </w:tabs>
        <w:ind w:left="1440" w:hanging="360"/>
      </w:pPr>
      <w:rPr>
        <w:rFonts w:ascii="Arial" w:hAnsi="Arial" w:hint="default"/>
      </w:rPr>
    </w:lvl>
    <w:lvl w:ilvl="2" w:tplc="CD14FBC0" w:tentative="1">
      <w:start w:val="1"/>
      <w:numFmt w:val="bullet"/>
      <w:lvlText w:val="•"/>
      <w:lvlJc w:val="left"/>
      <w:pPr>
        <w:tabs>
          <w:tab w:val="num" w:pos="2160"/>
        </w:tabs>
        <w:ind w:left="2160" w:hanging="360"/>
      </w:pPr>
      <w:rPr>
        <w:rFonts w:ascii="Arial" w:hAnsi="Arial" w:hint="default"/>
      </w:rPr>
    </w:lvl>
    <w:lvl w:ilvl="3" w:tplc="821E3548" w:tentative="1">
      <w:start w:val="1"/>
      <w:numFmt w:val="bullet"/>
      <w:lvlText w:val="•"/>
      <w:lvlJc w:val="left"/>
      <w:pPr>
        <w:tabs>
          <w:tab w:val="num" w:pos="2880"/>
        </w:tabs>
        <w:ind w:left="2880" w:hanging="360"/>
      </w:pPr>
      <w:rPr>
        <w:rFonts w:ascii="Arial" w:hAnsi="Arial" w:hint="default"/>
      </w:rPr>
    </w:lvl>
    <w:lvl w:ilvl="4" w:tplc="6A9E95B8" w:tentative="1">
      <w:start w:val="1"/>
      <w:numFmt w:val="bullet"/>
      <w:lvlText w:val="•"/>
      <w:lvlJc w:val="left"/>
      <w:pPr>
        <w:tabs>
          <w:tab w:val="num" w:pos="3600"/>
        </w:tabs>
        <w:ind w:left="3600" w:hanging="360"/>
      </w:pPr>
      <w:rPr>
        <w:rFonts w:ascii="Arial" w:hAnsi="Arial" w:hint="default"/>
      </w:rPr>
    </w:lvl>
    <w:lvl w:ilvl="5" w:tplc="22403AC6" w:tentative="1">
      <w:start w:val="1"/>
      <w:numFmt w:val="bullet"/>
      <w:lvlText w:val="•"/>
      <w:lvlJc w:val="left"/>
      <w:pPr>
        <w:tabs>
          <w:tab w:val="num" w:pos="4320"/>
        </w:tabs>
        <w:ind w:left="4320" w:hanging="360"/>
      </w:pPr>
      <w:rPr>
        <w:rFonts w:ascii="Arial" w:hAnsi="Arial" w:hint="default"/>
      </w:rPr>
    </w:lvl>
    <w:lvl w:ilvl="6" w:tplc="0B400720" w:tentative="1">
      <w:start w:val="1"/>
      <w:numFmt w:val="bullet"/>
      <w:lvlText w:val="•"/>
      <w:lvlJc w:val="left"/>
      <w:pPr>
        <w:tabs>
          <w:tab w:val="num" w:pos="5040"/>
        </w:tabs>
        <w:ind w:left="5040" w:hanging="360"/>
      </w:pPr>
      <w:rPr>
        <w:rFonts w:ascii="Arial" w:hAnsi="Arial" w:hint="default"/>
      </w:rPr>
    </w:lvl>
    <w:lvl w:ilvl="7" w:tplc="C6D8C70C" w:tentative="1">
      <w:start w:val="1"/>
      <w:numFmt w:val="bullet"/>
      <w:lvlText w:val="•"/>
      <w:lvlJc w:val="left"/>
      <w:pPr>
        <w:tabs>
          <w:tab w:val="num" w:pos="5760"/>
        </w:tabs>
        <w:ind w:left="5760" w:hanging="360"/>
      </w:pPr>
      <w:rPr>
        <w:rFonts w:ascii="Arial" w:hAnsi="Arial" w:hint="default"/>
      </w:rPr>
    </w:lvl>
    <w:lvl w:ilvl="8" w:tplc="AEC084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A464CF"/>
    <w:multiLevelType w:val="hybridMultilevel"/>
    <w:tmpl w:val="47AE62F6"/>
    <w:lvl w:ilvl="0" w:tplc="10A27FC0">
      <w:start w:val="1"/>
      <w:numFmt w:val="bullet"/>
      <w:lvlText w:val="•"/>
      <w:lvlJc w:val="left"/>
      <w:pPr>
        <w:tabs>
          <w:tab w:val="num" w:pos="720"/>
        </w:tabs>
        <w:ind w:left="720" w:hanging="360"/>
      </w:pPr>
      <w:rPr>
        <w:rFonts w:ascii="Arial" w:hAnsi="Arial" w:hint="default"/>
      </w:rPr>
    </w:lvl>
    <w:lvl w:ilvl="1" w:tplc="8B22375A">
      <w:start w:val="28"/>
      <w:numFmt w:val="bullet"/>
      <w:lvlText w:val="•"/>
      <w:lvlJc w:val="left"/>
      <w:pPr>
        <w:tabs>
          <w:tab w:val="num" w:pos="1440"/>
        </w:tabs>
        <w:ind w:left="1440" w:hanging="360"/>
      </w:pPr>
      <w:rPr>
        <w:rFonts w:ascii="Arial" w:hAnsi="Arial" w:hint="default"/>
      </w:rPr>
    </w:lvl>
    <w:lvl w:ilvl="2" w:tplc="E26247B0" w:tentative="1">
      <w:start w:val="1"/>
      <w:numFmt w:val="bullet"/>
      <w:lvlText w:val="•"/>
      <w:lvlJc w:val="left"/>
      <w:pPr>
        <w:tabs>
          <w:tab w:val="num" w:pos="2160"/>
        </w:tabs>
        <w:ind w:left="2160" w:hanging="360"/>
      </w:pPr>
      <w:rPr>
        <w:rFonts w:ascii="Arial" w:hAnsi="Arial" w:hint="default"/>
      </w:rPr>
    </w:lvl>
    <w:lvl w:ilvl="3" w:tplc="9FDE8AC8" w:tentative="1">
      <w:start w:val="1"/>
      <w:numFmt w:val="bullet"/>
      <w:lvlText w:val="•"/>
      <w:lvlJc w:val="left"/>
      <w:pPr>
        <w:tabs>
          <w:tab w:val="num" w:pos="2880"/>
        </w:tabs>
        <w:ind w:left="2880" w:hanging="360"/>
      </w:pPr>
      <w:rPr>
        <w:rFonts w:ascii="Arial" w:hAnsi="Arial" w:hint="default"/>
      </w:rPr>
    </w:lvl>
    <w:lvl w:ilvl="4" w:tplc="BE1E2B4E" w:tentative="1">
      <w:start w:val="1"/>
      <w:numFmt w:val="bullet"/>
      <w:lvlText w:val="•"/>
      <w:lvlJc w:val="left"/>
      <w:pPr>
        <w:tabs>
          <w:tab w:val="num" w:pos="3600"/>
        </w:tabs>
        <w:ind w:left="3600" w:hanging="360"/>
      </w:pPr>
      <w:rPr>
        <w:rFonts w:ascii="Arial" w:hAnsi="Arial" w:hint="default"/>
      </w:rPr>
    </w:lvl>
    <w:lvl w:ilvl="5" w:tplc="A09878F0" w:tentative="1">
      <w:start w:val="1"/>
      <w:numFmt w:val="bullet"/>
      <w:lvlText w:val="•"/>
      <w:lvlJc w:val="left"/>
      <w:pPr>
        <w:tabs>
          <w:tab w:val="num" w:pos="4320"/>
        </w:tabs>
        <w:ind w:left="4320" w:hanging="360"/>
      </w:pPr>
      <w:rPr>
        <w:rFonts w:ascii="Arial" w:hAnsi="Arial" w:hint="default"/>
      </w:rPr>
    </w:lvl>
    <w:lvl w:ilvl="6" w:tplc="EB0A6C4E" w:tentative="1">
      <w:start w:val="1"/>
      <w:numFmt w:val="bullet"/>
      <w:lvlText w:val="•"/>
      <w:lvlJc w:val="left"/>
      <w:pPr>
        <w:tabs>
          <w:tab w:val="num" w:pos="5040"/>
        </w:tabs>
        <w:ind w:left="5040" w:hanging="360"/>
      </w:pPr>
      <w:rPr>
        <w:rFonts w:ascii="Arial" w:hAnsi="Arial" w:hint="default"/>
      </w:rPr>
    </w:lvl>
    <w:lvl w:ilvl="7" w:tplc="6636BE0A" w:tentative="1">
      <w:start w:val="1"/>
      <w:numFmt w:val="bullet"/>
      <w:lvlText w:val="•"/>
      <w:lvlJc w:val="left"/>
      <w:pPr>
        <w:tabs>
          <w:tab w:val="num" w:pos="5760"/>
        </w:tabs>
        <w:ind w:left="5760" w:hanging="360"/>
      </w:pPr>
      <w:rPr>
        <w:rFonts w:ascii="Arial" w:hAnsi="Arial" w:hint="default"/>
      </w:rPr>
    </w:lvl>
    <w:lvl w:ilvl="8" w:tplc="268040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5D648B"/>
    <w:multiLevelType w:val="hybridMultilevel"/>
    <w:tmpl w:val="C98E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62958FE"/>
    <w:multiLevelType w:val="hybridMultilevel"/>
    <w:tmpl w:val="B2BEBBCC"/>
    <w:lvl w:ilvl="0" w:tplc="18CA57B0">
      <w:start w:val="1"/>
      <w:numFmt w:val="bullet"/>
      <w:lvlText w:val="•"/>
      <w:lvlJc w:val="left"/>
      <w:pPr>
        <w:tabs>
          <w:tab w:val="num" w:pos="720"/>
        </w:tabs>
        <w:ind w:left="720" w:hanging="360"/>
      </w:pPr>
      <w:rPr>
        <w:rFonts w:ascii="Arial" w:hAnsi="Arial" w:hint="default"/>
      </w:rPr>
    </w:lvl>
    <w:lvl w:ilvl="1" w:tplc="605E4BC4">
      <w:start w:val="44"/>
      <w:numFmt w:val="bullet"/>
      <w:lvlText w:val="•"/>
      <w:lvlJc w:val="left"/>
      <w:pPr>
        <w:tabs>
          <w:tab w:val="num" w:pos="1440"/>
        </w:tabs>
        <w:ind w:left="1440" w:hanging="360"/>
      </w:pPr>
      <w:rPr>
        <w:rFonts w:ascii="Arial" w:hAnsi="Arial" w:hint="default"/>
      </w:rPr>
    </w:lvl>
    <w:lvl w:ilvl="2" w:tplc="26B6948C" w:tentative="1">
      <w:start w:val="1"/>
      <w:numFmt w:val="bullet"/>
      <w:lvlText w:val="•"/>
      <w:lvlJc w:val="left"/>
      <w:pPr>
        <w:tabs>
          <w:tab w:val="num" w:pos="2160"/>
        </w:tabs>
        <w:ind w:left="2160" w:hanging="360"/>
      </w:pPr>
      <w:rPr>
        <w:rFonts w:ascii="Arial" w:hAnsi="Arial" w:hint="default"/>
      </w:rPr>
    </w:lvl>
    <w:lvl w:ilvl="3" w:tplc="4C9457E4" w:tentative="1">
      <w:start w:val="1"/>
      <w:numFmt w:val="bullet"/>
      <w:lvlText w:val="•"/>
      <w:lvlJc w:val="left"/>
      <w:pPr>
        <w:tabs>
          <w:tab w:val="num" w:pos="2880"/>
        </w:tabs>
        <w:ind w:left="2880" w:hanging="360"/>
      </w:pPr>
      <w:rPr>
        <w:rFonts w:ascii="Arial" w:hAnsi="Arial" w:hint="default"/>
      </w:rPr>
    </w:lvl>
    <w:lvl w:ilvl="4" w:tplc="166A44DA" w:tentative="1">
      <w:start w:val="1"/>
      <w:numFmt w:val="bullet"/>
      <w:lvlText w:val="•"/>
      <w:lvlJc w:val="left"/>
      <w:pPr>
        <w:tabs>
          <w:tab w:val="num" w:pos="3600"/>
        </w:tabs>
        <w:ind w:left="3600" w:hanging="360"/>
      </w:pPr>
      <w:rPr>
        <w:rFonts w:ascii="Arial" w:hAnsi="Arial" w:hint="default"/>
      </w:rPr>
    </w:lvl>
    <w:lvl w:ilvl="5" w:tplc="DE0E3CE6" w:tentative="1">
      <w:start w:val="1"/>
      <w:numFmt w:val="bullet"/>
      <w:lvlText w:val="•"/>
      <w:lvlJc w:val="left"/>
      <w:pPr>
        <w:tabs>
          <w:tab w:val="num" w:pos="4320"/>
        </w:tabs>
        <w:ind w:left="4320" w:hanging="360"/>
      </w:pPr>
      <w:rPr>
        <w:rFonts w:ascii="Arial" w:hAnsi="Arial" w:hint="default"/>
      </w:rPr>
    </w:lvl>
    <w:lvl w:ilvl="6" w:tplc="CA9A32C0" w:tentative="1">
      <w:start w:val="1"/>
      <w:numFmt w:val="bullet"/>
      <w:lvlText w:val="•"/>
      <w:lvlJc w:val="left"/>
      <w:pPr>
        <w:tabs>
          <w:tab w:val="num" w:pos="5040"/>
        </w:tabs>
        <w:ind w:left="5040" w:hanging="360"/>
      </w:pPr>
      <w:rPr>
        <w:rFonts w:ascii="Arial" w:hAnsi="Arial" w:hint="default"/>
      </w:rPr>
    </w:lvl>
    <w:lvl w:ilvl="7" w:tplc="4FACE432" w:tentative="1">
      <w:start w:val="1"/>
      <w:numFmt w:val="bullet"/>
      <w:lvlText w:val="•"/>
      <w:lvlJc w:val="left"/>
      <w:pPr>
        <w:tabs>
          <w:tab w:val="num" w:pos="5760"/>
        </w:tabs>
        <w:ind w:left="5760" w:hanging="360"/>
      </w:pPr>
      <w:rPr>
        <w:rFonts w:ascii="Arial" w:hAnsi="Arial" w:hint="default"/>
      </w:rPr>
    </w:lvl>
    <w:lvl w:ilvl="8" w:tplc="CF54758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0"/>
  </w:num>
  <w:num w:numId="4">
    <w:abstractNumId w:val="4"/>
  </w:num>
  <w:num w:numId="5">
    <w:abstractNumId w:val="1"/>
  </w:num>
  <w:num w:numId="6">
    <w:abstractNumId w:val="3"/>
  </w:num>
  <w:num w:numId="7">
    <w:abstractNumId w:val="6"/>
  </w:num>
  <w:num w:numId="8">
    <w:abstractNumId w:val="8"/>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475"/>
    <w:rsid w:val="0000162C"/>
    <w:rsid w:val="00001632"/>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39E"/>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6B86"/>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63B"/>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0DA"/>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C7D3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C53"/>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131"/>
    <w:rsid w:val="001305EF"/>
    <w:rsid w:val="001306B7"/>
    <w:rsid w:val="00130D02"/>
    <w:rsid w:val="00130DEB"/>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27D"/>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A59"/>
    <w:rsid w:val="00192E1A"/>
    <w:rsid w:val="00193934"/>
    <w:rsid w:val="001942DB"/>
    <w:rsid w:val="0019461B"/>
    <w:rsid w:val="00194B45"/>
    <w:rsid w:val="0019597A"/>
    <w:rsid w:val="00195BE2"/>
    <w:rsid w:val="001964F8"/>
    <w:rsid w:val="00196643"/>
    <w:rsid w:val="001967D5"/>
    <w:rsid w:val="00196D92"/>
    <w:rsid w:val="001978E1"/>
    <w:rsid w:val="00197B67"/>
    <w:rsid w:val="001A0201"/>
    <w:rsid w:val="001A0969"/>
    <w:rsid w:val="001A102B"/>
    <w:rsid w:val="001A1035"/>
    <w:rsid w:val="001A13FB"/>
    <w:rsid w:val="001A1461"/>
    <w:rsid w:val="001A14E6"/>
    <w:rsid w:val="001A1BD9"/>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51"/>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796"/>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17"/>
    <w:rsid w:val="00205C67"/>
    <w:rsid w:val="00205DC1"/>
    <w:rsid w:val="00205F2A"/>
    <w:rsid w:val="002061D2"/>
    <w:rsid w:val="002066E8"/>
    <w:rsid w:val="002069C4"/>
    <w:rsid w:val="00206F6B"/>
    <w:rsid w:val="00207064"/>
    <w:rsid w:val="00207CC5"/>
    <w:rsid w:val="00207D20"/>
    <w:rsid w:val="00207ED9"/>
    <w:rsid w:val="00210233"/>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B33"/>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572"/>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2DB"/>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847"/>
    <w:rsid w:val="002C2C19"/>
    <w:rsid w:val="002C3424"/>
    <w:rsid w:val="002C3860"/>
    <w:rsid w:val="002C3C8A"/>
    <w:rsid w:val="002C5A0A"/>
    <w:rsid w:val="002C5CC9"/>
    <w:rsid w:val="002C61AC"/>
    <w:rsid w:val="002C631D"/>
    <w:rsid w:val="002C6990"/>
    <w:rsid w:val="002C69E5"/>
    <w:rsid w:val="002C7402"/>
    <w:rsid w:val="002C7829"/>
    <w:rsid w:val="002D0792"/>
    <w:rsid w:val="002D0B64"/>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A7C"/>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624"/>
    <w:rsid w:val="003159C3"/>
    <w:rsid w:val="00315DDF"/>
    <w:rsid w:val="00316164"/>
    <w:rsid w:val="00316B4F"/>
    <w:rsid w:val="00316E22"/>
    <w:rsid w:val="00316E38"/>
    <w:rsid w:val="00316E73"/>
    <w:rsid w:val="003176FD"/>
    <w:rsid w:val="00317732"/>
    <w:rsid w:val="00317E30"/>
    <w:rsid w:val="00317EC3"/>
    <w:rsid w:val="003205EB"/>
    <w:rsid w:val="003208EF"/>
    <w:rsid w:val="00320A11"/>
    <w:rsid w:val="003213B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8F8"/>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4EE8"/>
    <w:rsid w:val="00345022"/>
    <w:rsid w:val="00345F76"/>
    <w:rsid w:val="003462E7"/>
    <w:rsid w:val="00346539"/>
    <w:rsid w:val="0034688E"/>
    <w:rsid w:val="00346A2E"/>
    <w:rsid w:val="00346B6E"/>
    <w:rsid w:val="00347864"/>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493"/>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5C"/>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712"/>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4DD"/>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3E0A"/>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4B2"/>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3B4C"/>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095"/>
    <w:rsid w:val="003F6A05"/>
    <w:rsid w:val="003F6B2D"/>
    <w:rsid w:val="003F6C03"/>
    <w:rsid w:val="003F6CA7"/>
    <w:rsid w:val="003F6EA1"/>
    <w:rsid w:val="003F7053"/>
    <w:rsid w:val="003F71AD"/>
    <w:rsid w:val="003F731E"/>
    <w:rsid w:val="003F7BEF"/>
    <w:rsid w:val="00400543"/>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542"/>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7E6"/>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200"/>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B8E"/>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8D7"/>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7D"/>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449"/>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ED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6ED8"/>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0F9B"/>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3C3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E3E"/>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44F"/>
    <w:rsid w:val="006C6644"/>
    <w:rsid w:val="006C6834"/>
    <w:rsid w:val="006C6BD9"/>
    <w:rsid w:val="006C70B3"/>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48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D5D"/>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65E"/>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DCE"/>
    <w:rsid w:val="00743F02"/>
    <w:rsid w:val="007440A3"/>
    <w:rsid w:val="007445F4"/>
    <w:rsid w:val="00744B32"/>
    <w:rsid w:val="00744C28"/>
    <w:rsid w:val="00744C54"/>
    <w:rsid w:val="00744E4B"/>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2BB"/>
    <w:rsid w:val="007605C4"/>
    <w:rsid w:val="0076074D"/>
    <w:rsid w:val="0076110B"/>
    <w:rsid w:val="0076111C"/>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5FA1"/>
    <w:rsid w:val="00776A22"/>
    <w:rsid w:val="00776C35"/>
    <w:rsid w:val="007770D2"/>
    <w:rsid w:val="00777654"/>
    <w:rsid w:val="007808BA"/>
    <w:rsid w:val="0078134E"/>
    <w:rsid w:val="007821E8"/>
    <w:rsid w:val="0078241D"/>
    <w:rsid w:val="007827EE"/>
    <w:rsid w:val="00782AEA"/>
    <w:rsid w:val="00783D86"/>
    <w:rsid w:val="007843C1"/>
    <w:rsid w:val="0078457B"/>
    <w:rsid w:val="007845FF"/>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8E"/>
    <w:rsid w:val="00792BF7"/>
    <w:rsid w:val="007931B4"/>
    <w:rsid w:val="00793793"/>
    <w:rsid w:val="00793B5B"/>
    <w:rsid w:val="007940F6"/>
    <w:rsid w:val="00794895"/>
    <w:rsid w:val="00795BA6"/>
    <w:rsid w:val="00795F06"/>
    <w:rsid w:val="00796D8F"/>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A1"/>
    <w:rsid w:val="007C107C"/>
    <w:rsid w:val="007C137B"/>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85"/>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34"/>
    <w:rsid w:val="00814A98"/>
    <w:rsid w:val="00814CB0"/>
    <w:rsid w:val="00815692"/>
    <w:rsid w:val="00815A93"/>
    <w:rsid w:val="00815C5B"/>
    <w:rsid w:val="008167B3"/>
    <w:rsid w:val="00817A79"/>
    <w:rsid w:val="00817D78"/>
    <w:rsid w:val="00817F48"/>
    <w:rsid w:val="008203BE"/>
    <w:rsid w:val="00820485"/>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94"/>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37"/>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F4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856"/>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3DA"/>
    <w:rsid w:val="008B3A0A"/>
    <w:rsid w:val="008B45E7"/>
    <w:rsid w:val="008B471E"/>
    <w:rsid w:val="008B5290"/>
    <w:rsid w:val="008B55FA"/>
    <w:rsid w:val="008B60A7"/>
    <w:rsid w:val="008B6491"/>
    <w:rsid w:val="008B6D94"/>
    <w:rsid w:val="008B6FEB"/>
    <w:rsid w:val="008B77B0"/>
    <w:rsid w:val="008C09EB"/>
    <w:rsid w:val="008C0B36"/>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F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B5A"/>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361"/>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8AC"/>
    <w:rsid w:val="00915AB7"/>
    <w:rsid w:val="00915B81"/>
    <w:rsid w:val="00915E48"/>
    <w:rsid w:val="00916157"/>
    <w:rsid w:val="0091704E"/>
    <w:rsid w:val="009175A3"/>
    <w:rsid w:val="00917804"/>
    <w:rsid w:val="009178AE"/>
    <w:rsid w:val="00917C15"/>
    <w:rsid w:val="00917E30"/>
    <w:rsid w:val="00920223"/>
    <w:rsid w:val="009206A4"/>
    <w:rsid w:val="009211DD"/>
    <w:rsid w:val="009213F0"/>
    <w:rsid w:val="00921A90"/>
    <w:rsid w:val="00921C83"/>
    <w:rsid w:val="009225F6"/>
    <w:rsid w:val="009233A9"/>
    <w:rsid w:val="00923722"/>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3BB"/>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329"/>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74D"/>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FE6"/>
    <w:rsid w:val="009B52DA"/>
    <w:rsid w:val="009B5455"/>
    <w:rsid w:val="009B54D7"/>
    <w:rsid w:val="009B5510"/>
    <w:rsid w:val="009B5530"/>
    <w:rsid w:val="009B5A50"/>
    <w:rsid w:val="009B68DC"/>
    <w:rsid w:val="009B6A01"/>
    <w:rsid w:val="009B6E5E"/>
    <w:rsid w:val="009B6FA7"/>
    <w:rsid w:val="009B7196"/>
    <w:rsid w:val="009B7260"/>
    <w:rsid w:val="009B778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D92"/>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F3C"/>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50A"/>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2D2F"/>
    <w:rsid w:val="00A630C9"/>
    <w:rsid w:val="00A63472"/>
    <w:rsid w:val="00A63978"/>
    <w:rsid w:val="00A63B8B"/>
    <w:rsid w:val="00A63CFD"/>
    <w:rsid w:val="00A64525"/>
    <w:rsid w:val="00A647D2"/>
    <w:rsid w:val="00A659CF"/>
    <w:rsid w:val="00A65AE8"/>
    <w:rsid w:val="00A65CD4"/>
    <w:rsid w:val="00A65E18"/>
    <w:rsid w:val="00A662EC"/>
    <w:rsid w:val="00A66510"/>
    <w:rsid w:val="00A66719"/>
    <w:rsid w:val="00A66AE9"/>
    <w:rsid w:val="00A67187"/>
    <w:rsid w:val="00A6782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A4"/>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7A1"/>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074"/>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6DB"/>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6ED"/>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4EA5"/>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F8A"/>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636"/>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1FD"/>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3C4"/>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22E"/>
    <w:rsid w:val="00B6034C"/>
    <w:rsid w:val="00B60555"/>
    <w:rsid w:val="00B6059E"/>
    <w:rsid w:val="00B607A1"/>
    <w:rsid w:val="00B6093A"/>
    <w:rsid w:val="00B60C33"/>
    <w:rsid w:val="00B6106B"/>
    <w:rsid w:val="00B61DA8"/>
    <w:rsid w:val="00B6214D"/>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8DC"/>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5BF"/>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046"/>
    <w:rsid w:val="00BA0AD9"/>
    <w:rsid w:val="00BA0D18"/>
    <w:rsid w:val="00BA0FF7"/>
    <w:rsid w:val="00BA1B4B"/>
    <w:rsid w:val="00BA2066"/>
    <w:rsid w:val="00BA2794"/>
    <w:rsid w:val="00BA27E1"/>
    <w:rsid w:val="00BA3E3E"/>
    <w:rsid w:val="00BA426D"/>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2C4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088"/>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356"/>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880"/>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0D0"/>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C67"/>
    <w:rsid w:val="00C64E83"/>
    <w:rsid w:val="00C65099"/>
    <w:rsid w:val="00C65554"/>
    <w:rsid w:val="00C65806"/>
    <w:rsid w:val="00C65AA5"/>
    <w:rsid w:val="00C65C0B"/>
    <w:rsid w:val="00C663FC"/>
    <w:rsid w:val="00C66742"/>
    <w:rsid w:val="00C668EB"/>
    <w:rsid w:val="00C67065"/>
    <w:rsid w:val="00C673A1"/>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51E"/>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13"/>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A8"/>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AB5"/>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279"/>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1BA9"/>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7B"/>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4FD4"/>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8CB"/>
    <w:rsid w:val="00E27D56"/>
    <w:rsid w:val="00E30DC2"/>
    <w:rsid w:val="00E313B6"/>
    <w:rsid w:val="00E313CC"/>
    <w:rsid w:val="00E3151B"/>
    <w:rsid w:val="00E3165F"/>
    <w:rsid w:val="00E319EC"/>
    <w:rsid w:val="00E31DB4"/>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277"/>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28F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357"/>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1DC"/>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CD2"/>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A8A"/>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574"/>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51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A051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A051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585277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64426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5710798">
      <w:bodyDiv w:val="1"/>
      <w:marLeft w:val="0"/>
      <w:marRight w:val="0"/>
      <w:marTop w:val="0"/>
      <w:marBottom w:val="0"/>
      <w:divBdr>
        <w:top w:val="none" w:sz="0" w:space="0" w:color="auto"/>
        <w:left w:val="none" w:sz="0" w:space="0" w:color="auto"/>
        <w:bottom w:val="none" w:sz="0" w:space="0" w:color="auto"/>
        <w:right w:val="none" w:sz="0" w:space="0" w:color="auto"/>
      </w:divBdr>
      <w:divsChild>
        <w:div w:id="84763067">
          <w:marLeft w:val="446"/>
          <w:marRight w:val="0"/>
          <w:marTop w:val="0"/>
          <w:marBottom w:val="0"/>
          <w:divBdr>
            <w:top w:val="none" w:sz="0" w:space="0" w:color="auto"/>
            <w:left w:val="none" w:sz="0" w:space="0" w:color="auto"/>
            <w:bottom w:val="none" w:sz="0" w:space="0" w:color="auto"/>
            <w:right w:val="none" w:sz="0" w:space="0" w:color="auto"/>
          </w:divBdr>
        </w:div>
        <w:div w:id="1238855498">
          <w:marLeft w:val="1166"/>
          <w:marRight w:val="0"/>
          <w:marTop w:val="0"/>
          <w:marBottom w:val="0"/>
          <w:divBdr>
            <w:top w:val="none" w:sz="0" w:space="0" w:color="auto"/>
            <w:left w:val="none" w:sz="0" w:space="0" w:color="auto"/>
            <w:bottom w:val="none" w:sz="0" w:space="0" w:color="auto"/>
            <w:right w:val="none" w:sz="0" w:space="0" w:color="auto"/>
          </w:divBdr>
        </w:div>
        <w:div w:id="1406301736">
          <w:marLeft w:val="1166"/>
          <w:marRight w:val="0"/>
          <w:marTop w:val="0"/>
          <w:marBottom w:val="0"/>
          <w:divBdr>
            <w:top w:val="none" w:sz="0" w:space="0" w:color="auto"/>
            <w:left w:val="none" w:sz="0" w:space="0" w:color="auto"/>
            <w:bottom w:val="none" w:sz="0" w:space="0" w:color="auto"/>
            <w:right w:val="none" w:sz="0" w:space="0" w:color="auto"/>
          </w:divBdr>
        </w:div>
        <w:div w:id="1528252141">
          <w:marLeft w:val="446"/>
          <w:marRight w:val="0"/>
          <w:marTop w:val="0"/>
          <w:marBottom w:val="0"/>
          <w:divBdr>
            <w:top w:val="none" w:sz="0" w:space="0" w:color="auto"/>
            <w:left w:val="none" w:sz="0" w:space="0" w:color="auto"/>
            <w:bottom w:val="none" w:sz="0" w:space="0" w:color="auto"/>
            <w:right w:val="none" w:sz="0" w:space="0" w:color="auto"/>
          </w:divBdr>
        </w:div>
        <w:div w:id="1943368662">
          <w:marLeft w:val="446"/>
          <w:marRight w:val="0"/>
          <w:marTop w:val="0"/>
          <w:marBottom w:val="0"/>
          <w:divBdr>
            <w:top w:val="none" w:sz="0" w:space="0" w:color="auto"/>
            <w:left w:val="none" w:sz="0" w:space="0" w:color="auto"/>
            <w:bottom w:val="none" w:sz="0" w:space="0" w:color="auto"/>
            <w:right w:val="none" w:sz="0" w:space="0" w:color="auto"/>
          </w:divBdr>
        </w:div>
        <w:div w:id="441345156">
          <w:marLeft w:val="1166"/>
          <w:marRight w:val="0"/>
          <w:marTop w:val="0"/>
          <w:marBottom w:val="0"/>
          <w:divBdr>
            <w:top w:val="none" w:sz="0" w:space="0" w:color="auto"/>
            <w:left w:val="none" w:sz="0" w:space="0" w:color="auto"/>
            <w:bottom w:val="none" w:sz="0" w:space="0" w:color="auto"/>
            <w:right w:val="none" w:sz="0" w:space="0" w:color="auto"/>
          </w:divBdr>
        </w:div>
        <w:div w:id="859273805">
          <w:marLeft w:val="1166"/>
          <w:marRight w:val="0"/>
          <w:marTop w:val="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730141">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25765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02829">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138404">
      <w:bodyDiv w:val="1"/>
      <w:marLeft w:val="0"/>
      <w:marRight w:val="0"/>
      <w:marTop w:val="0"/>
      <w:marBottom w:val="0"/>
      <w:divBdr>
        <w:top w:val="none" w:sz="0" w:space="0" w:color="auto"/>
        <w:left w:val="none" w:sz="0" w:space="0" w:color="auto"/>
        <w:bottom w:val="none" w:sz="0" w:space="0" w:color="auto"/>
        <w:right w:val="none" w:sz="0" w:space="0" w:color="auto"/>
      </w:divBdr>
      <w:divsChild>
        <w:div w:id="555511897">
          <w:marLeft w:val="446"/>
          <w:marRight w:val="0"/>
          <w:marTop w:val="0"/>
          <w:marBottom w:val="0"/>
          <w:divBdr>
            <w:top w:val="none" w:sz="0" w:space="0" w:color="auto"/>
            <w:left w:val="none" w:sz="0" w:space="0" w:color="auto"/>
            <w:bottom w:val="none" w:sz="0" w:space="0" w:color="auto"/>
            <w:right w:val="none" w:sz="0" w:space="0" w:color="auto"/>
          </w:divBdr>
        </w:div>
        <w:div w:id="1297025205">
          <w:marLeft w:val="1166"/>
          <w:marRight w:val="0"/>
          <w:marTop w:val="0"/>
          <w:marBottom w:val="0"/>
          <w:divBdr>
            <w:top w:val="none" w:sz="0" w:space="0" w:color="auto"/>
            <w:left w:val="none" w:sz="0" w:space="0" w:color="auto"/>
            <w:bottom w:val="none" w:sz="0" w:space="0" w:color="auto"/>
            <w:right w:val="none" w:sz="0" w:space="0" w:color="auto"/>
          </w:divBdr>
        </w:div>
        <w:div w:id="1290628358">
          <w:marLeft w:val="1166"/>
          <w:marRight w:val="0"/>
          <w:marTop w:val="0"/>
          <w:marBottom w:val="0"/>
          <w:divBdr>
            <w:top w:val="none" w:sz="0" w:space="0" w:color="auto"/>
            <w:left w:val="none" w:sz="0" w:space="0" w:color="auto"/>
            <w:bottom w:val="none" w:sz="0" w:space="0" w:color="auto"/>
            <w:right w:val="none" w:sz="0" w:space="0" w:color="auto"/>
          </w:divBdr>
        </w:div>
        <w:div w:id="2131630268">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8945448">
      <w:bodyDiv w:val="1"/>
      <w:marLeft w:val="0"/>
      <w:marRight w:val="0"/>
      <w:marTop w:val="0"/>
      <w:marBottom w:val="0"/>
      <w:divBdr>
        <w:top w:val="none" w:sz="0" w:space="0" w:color="auto"/>
        <w:left w:val="none" w:sz="0" w:space="0" w:color="auto"/>
        <w:bottom w:val="none" w:sz="0" w:space="0" w:color="auto"/>
        <w:right w:val="none" w:sz="0" w:space="0" w:color="auto"/>
      </w:divBdr>
      <w:divsChild>
        <w:div w:id="1183518203">
          <w:marLeft w:val="360"/>
          <w:marRight w:val="0"/>
          <w:marTop w:val="200"/>
          <w:marBottom w:val="0"/>
          <w:divBdr>
            <w:top w:val="none" w:sz="0" w:space="0" w:color="auto"/>
            <w:left w:val="none" w:sz="0" w:space="0" w:color="auto"/>
            <w:bottom w:val="none" w:sz="0" w:space="0" w:color="auto"/>
            <w:right w:val="none" w:sz="0" w:space="0" w:color="auto"/>
          </w:divBdr>
        </w:div>
        <w:div w:id="1797411610">
          <w:marLeft w:val="360"/>
          <w:marRight w:val="0"/>
          <w:marTop w:val="200"/>
          <w:marBottom w:val="0"/>
          <w:divBdr>
            <w:top w:val="none" w:sz="0" w:space="0" w:color="auto"/>
            <w:left w:val="none" w:sz="0" w:space="0" w:color="auto"/>
            <w:bottom w:val="none" w:sz="0" w:space="0" w:color="auto"/>
            <w:right w:val="none" w:sz="0" w:space="0" w:color="auto"/>
          </w:divBdr>
        </w:div>
        <w:div w:id="434834093">
          <w:marLeft w:val="1080"/>
          <w:marRight w:val="0"/>
          <w:marTop w:val="100"/>
          <w:marBottom w:val="0"/>
          <w:divBdr>
            <w:top w:val="none" w:sz="0" w:space="0" w:color="auto"/>
            <w:left w:val="none" w:sz="0" w:space="0" w:color="auto"/>
            <w:bottom w:val="none" w:sz="0" w:space="0" w:color="auto"/>
            <w:right w:val="none" w:sz="0" w:space="0" w:color="auto"/>
          </w:divBdr>
        </w:div>
        <w:div w:id="623582587">
          <w:marLeft w:val="1080"/>
          <w:marRight w:val="0"/>
          <w:marTop w:val="100"/>
          <w:marBottom w:val="0"/>
          <w:divBdr>
            <w:top w:val="none" w:sz="0" w:space="0" w:color="auto"/>
            <w:left w:val="none" w:sz="0" w:space="0" w:color="auto"/>
            <w:bottom w:val="none" w:sz="0" w:space="0" w:color="auto"/>
            <w:right w:val="none" w:sz="0" w:space="0" w:color="auto"/>
          </w:divBdr>
        </w:div>
        <w:div w:id="1261110007">
          <w:marLeft w:val="360"/>
          <w:marRight w:val="0"/>
          <w:marTop w:val="200"/>
          <w:marBottom w:val="0"/>
          <w:divBdr>
            <w:top w:val="none" w:sz="0" w:space="0" w:color="auto"/>
            <w:left w:val="none" w:sz="0" w:space="0" w:color="auto"/>
            <w:bottom w:val="none" w:sz="0" w:space="0" w:color="auto"/>
            <w:right w:val="none" w:sz="0" w:space="0" w:color="auto"/>
          </w:divBdr>
        </w:div>
        <w:div w:id="288828049">
          <w:marLeft w:val="360"/>
          <w:marRight w:val="0"/>
          <w:marTop w:val="200"/>
          <w:marBottom w:val="0"/>
          <w:divBdr>
            <w:top w:val="none" w:sz="0" w:space="0" w:color="auto"/>
            <w:left w:val="none" w:sz="0" w:space="0" w:color="auto"/>
            <w:bottom w:val="none" w:sz="0" w:space="0" w:color="auto"/>
            <w:right w:val="none" w:sz="0" w:space="0" w:color="auto"/>
          </w:divBdr>
        </w:div>
        <w:div w:id="1685936668">
          <w:marLeft w:val="360"/>
          <w:marRight w:val="0"/>
          <w:marTop w:val="200"/>
          <w:marBottom w:val="0"/>
          <w:divBdr>
            <w:top w:val="none" w:sz="0" w:space="0" w:color="auto"/>
            <w:left w:val="none" w:sz="0" w:space="0" w:color="auto"/>
            <w:bottom w:val="none" w:sz="0" w:space="0" w:color="auto"/>
            <w:right w:val="none" w:sz="0" w:space="0" w:color="auto"/>
          </w:divBdr>
        </w:div>
        <w:div w:id="821390840">
          <w:marLeft w:val="360"/>
          <w:marRight w:val="0"/>
          <w:marTop w:val="200"/>
          <w:marBottom w:val="0"/>
          <w:divBdr>
            <w:top w:val="none" w:sz="0" w:space="0" w:color="auto"/>
            <w:left w:val="none" w:sz="0" w:space="0" w:color="auto"/>
            <w:bottom w:val="none" w:sz="0" w:space="0" w:color="auto"/>
            <w:right w:val="none" w:sz="0" w:space="0" w:color="auto"/>
          </w:divBdr>
        </w:div>
        <w:div w:id="1280645225">
          <w:marLeft w:val="360"/>
          <w:marRight w:val="0"/>
          <w:marTop w:val="200"/>
          <w:marBottom w:val="0"/>
          <w:divBdr>
            <w:top w:val="none" w:sz="0" w:space="0" w:color="auto"/>
            <w:left w:val="none" w:sz="0" w:space="0" w:color="auto"/>
            <w:bottom w:val="none" w:sz="0" w:space="0" w:color="auto"/>
            <w:right w:val="none" w:sz="0" w:space="0" w:color="auto"/>
          </w:divBdr>
        </w:div>
        <w:div w:id="1614509465">
          <w:marLeft w:val="360"/>
          <w:marRight w:val="0"/>
          <w:marTop w:val="200"/>
          <w:marBottom w:val="0"/>
          <w:divBdr>
            <w:top w:val="none" w:sz="0" w:space="0" w:color="auto"/>
            <w:left w:val="none" w:sz="0" w:space="0" w:color="auto"/>
            <w:bottom w:val="none" w:sz="0" w:space="0" w:color="auto"/>
            <w:right w:val="none" w:sz="0" w:space="0" w:color="auto"/>
          </w:divBdr>
        </w:div>
        <w:div w:id="1554923791">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594000">
      <w:bodyDiv w:val="1"/>
      <w:marLeft w:val="0"/>
      <w:marRight w:val="0"/>
      <w:marTop w:val="0"/>
      <w:marBottom w:val="0"/>
      <w:divBdr>
        <w:top w:val="none" w:sz="0" w:space="0" w:color="auto"/>
        <w:left w:val="none" w:sz="0" w:space="0" w:color="auto"/>
        <w:bottom w:val="none" w:sz="0" w:space="0" w:color="auto"/>
        <w:right w:val="none" w:sz="0" w:space="0" w:color="auto"/>
      </w:divBdr>
      <w:divsChild>
        <w:div w:id="2140293704">
          <w:marLeft w:val="360"/>
          <w:marRight w:val="0"/>
          <w:marTop w:val="200"/>
          <w:marBottom w:val="0"/>
          <w:divBdr>
            <w:top w:val="none" w:sz="0" w:space="0" w:color="auto"/>
            <w:left w:val="none" w:sz="0" w:space="0" w:color="auto"/>
            <w:bottom w:val="none" w:sz="0" w:space="0" w:color="auto"/>
            <w:right w:val="none" w:sz="0" w:space="0" w:color="auto"/>
          </w:divBdr>
        </w:div>
        <w:div w:id="901015490">
          <w:marLeft w:val="1080"/>
          <w:marRight w:val="0"/>
          <w:marTop w:val="100"/>
          <w:marBottom w:val="0"/>
          <w:divBdr>
            <w:top w:val="none" w:sz="0" w:space="0" w:color="auto"/>
            <w:left w:val="none" w:sz="0" w:space="0" w:color="auto"/>
            <w:bottom w:val="none" w:sz="0" w:space="0" w:color="auto"/>
            <w:right w:val="none" w:sz="0" w:space="0" w:color="auto"/>
          </w:divBdr>
        </w:div>
        <w:div w:id="1052729109">
          <w:marLeft w:val="1080"/>
          <w:marRight w:val="0"/>
          <w:marTop w:val="100"/>
          <w:marBottom w:val="0"/>
          <w:divBdr>
            <w:top w:val="none" w:sz="0" w:space="0" w:color="auto"/>
            <w:left w:val="none" w:sz="0" w:space="0" w:color="auto"/>
            <w:bottom w:val="none" w:sz="0" w:space="0" w:color="auto"/>
            <w:right w:val="none" w:sz="0" w:space="0" w:color="auto"/>
          </w:divBdr>
        </w:div>
        <w:div w:id="1418480755">
          <w:marLeft w:val="360"/>
          <w:marRight w:val="0"/>
          <w:marTop w:val="200"/>
          <w:marBottom w:val="0"/>
          <w:divBdr>
            <w:top w:val="none" w:sz="0" w:space="0" w:color="auto"/>
            <w:left w:val="none" w:sz="0" w:space="0" w:color="auto"/>
            <w:bottom w:val="none" w:sz="0" w:space="0" w:color="auto"/>
            <w:right w:val="none" w:sz="0" w:space="0" w:color="auto"/>
          </w:divBdr>
        </w:div>
        <w:div w:id="714700160">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4224212">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6301-B8A8-47D9-936F-9800FA2B0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2020-02-13T07:04:00Z</dcterms:created>
  <dcterms:modified xsi:type="dcterms:W3CDTF">2020-02-14T07:49:00Z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